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797FF" w14:textId="52C77A98" w:rsidR="00FE7E7B" w:rsidRDefault="00FE7E7B">
      <w:pPr>
        <w:pStyle w:val="Titre"/>
        <w:spacing w:after="100"/>
        <w:rPr>
          <w:color w:val="ED7D31" w:themeColor="accent2"/>
        </w:rPr>
      </w:pPr>
      <w:r w:rsidRPr="00FE7E7B">
        <w:rPr>
          <w:color w:val="ED7D31" w:themeColor="accent2"/>
        </w:rPr>
        <w:drawing>
          <wp:inline distT="0" distB="0" distL="0" distR="0" wp14:anchorId="49B6F2AF" wp14:editId="0F6CAF5D">
            <wp:extent cx="6188710" cy="1718310"/>
            <wp:effectExtent l="0" t="0" r="2540" b="0"/>
            <wp:docPr id="11397297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29793" name=""/>
                    <pic:cNvPicPr/>
                  </pic:nvPicPr>
                  <pic:blipFill>
                    <a:blip r:embed="rId5"/>
                    <a:stretch>
                      <a:fillRect/>
                    </a:stretch>
                  </pic:blipFill>
                  <pic:spPr>
                    <a:xfrm>
                      <a:off x="0" y="0"/>
                      <a:ext cx="6188710" cy="1718310"/>
                    </a:xfrm>
                    <a:prstGeom prst="rect">
                      <a:avLst/>
                    </a:prstGeom>
                  </pic:spPr>
                </pic:pic>
              </a:graphicData>
            </a:graphic>
          </wp:inline>
        </w:drawing>
      </w:r>
    </w:p>
    <w:p w14:paraId="1902CAFB" w14:textId="1186A012" w:rsidR="00042AA8" w:rsidRPr="00EF18E0" w:rsidRDefault="00EF18E0">
      <w:pPr>
        <w:pStyle w:val="Titre"/>
        <w:spacing w:after="100"/>
        <w:rPr>
          <w:color w:val="ED7D31" w:themeColor="accent2"/>
        </w:rPr>
      </w:pPr>
      <w:r w:rsidRPr="00EF18E0">
        <w:rPr>
          <w:color w:val="ED7D31" w:themeColor="accent2"/>
        </w:rPr>
        <w:t>Les psychédéliques comme traitement potentiel du trouble de la personnalité borderline : une revue narrative</w:t>
      </w:r>
    </w:p>
    <w:p w14:paraId="66EE3530" w14:textId="579033F0" w:rsidR="00EF18E0" w:rsidRPr="00EF18E0" w:rsidRDefault="00080A72">
      <w:pPr>
        <w:pStyle w:val="Titre"/>
        <w:spacing w:after="100"/>
        <w:rPr>
          <w:sz w:val="18"/>
          <w:szCs w:val="18"/>
          <w:lang w:val="en-GB"/>
        </w:rPr>
      </w:pPr>
      <w:proofErr w:type="spellStart"/>
      <w:r w:rsidRPr="00D04A56">
        <w:rPr>
          <w:color w:val="595959"/>
          <w:sz w:val="20"/>
          <w:szCs w:val="20"/>
          <w:lang w:val="en-GB"/>
        </w:rPr>
        <w:t>Artna</w:t>
      </w:r>
      <w:proofErr w:type="spellEnd"/>
      <w:r w:rsidRPr="00D04A56">
        <w:rPr>
          <w:color w:val="595959"/>
          <w:sz w:val="20"/>
          <w:szCs w:val="20"/>
          <w:lang w:val="en-GB"/>
        </w:rPr>
        <w:t xml:space="preserve"> E, Sandhu G, Chisamore N, Lipsitz O, Kaczmarek ES, Johnson DE, Rosenblat JD, </w:t>
      </w:r>
      <w:proofErr w:type="spellStart"/>
      <w:r w:rsidRPr="00D04A56">
        <w:rPr>
          <w:color w:val="595959"/>
          <w:sz w:val="20"/>
          <w:szCs w:val="20"/>
          <w:lang w:val="en-GB"/>
        </w:rPr>
        <w:t>Sediqzadah</w:t>
      </w:r>
      <w:proofErr w:type="spellEnd"/>
      <w:r w:rsidRPr="00D04A56">
        <w:rPr>
          <w:color w:val="595959"/>
          <w:sz w:val="20"/>
          <w:szCs w:val="20"/>
          <w:lang w:val="en-GB"/>
        </w:rPr>
        <w:t xml:space="preserve"> S. Psychedelics as a potential treatment for borderline personality disorder: A narrative review. </w:t>
      </w:r>
      <w:r w:rsidRPr="00080A72">
        <w:rPr>
          <w:color w:val="595959"/>
          <w:sz w:val="20"/>
          <w:szCs w:val="20"/>
          <w:lang w:val="en-GB"/>
        </w:rPr>
        <w:t>Psychiatry Research. 2026 ;361 :117152</w:t>
      </w:r>
    </w:p>
    <w:p w14:paraId="5F898958" w14:textId="77777777" w:rsidR="00042AA8" w:rsidRPr="00FE7E7B" w:rsidRDefault="00000000">
      <w:pPr>
        <w:pStyle w:val="Titre1"/>
        <w:spacing w:before="320" w:after="160"/>
        <w:rPr>
          <w:lang w:val="en-GB"/>
        </w:rPr>
      </w:pPr>
      <w:r w:rsidRPr="00FE7E7B">
        <w:rPr>
          <w:lang w:val="en-GB"/>
        </w:rPr>
        <w:t>Introduction</w:t>
      </w:r>
    </w:p>
    <w:p w14:paraId="3A66DD58" w14:textId="77777777" w:rsidR="00042AA8" w:rsidRDefault="00000000">
      <w:pPr>
        <w:spacing w:after="160"/>
        <w:jc w:val="both"/>
      </w:pPr>
      <w:r>
        <w:t>Le trouble de la personnalité borderline (TPB) est une pathologie psychiatrique sévère, caractérisée par une instabilité affective marquée, une dysrégulation comportementale et une hypersensibilité interpersonnelle. Il est associé à une morbidité, une mortalité et une stigmatisation particulièrement élevées : les personnes qui en souffrent présentent un risque de décès suicidaire et non suicidaire nettement supérieur à celui observé chez les patients porteurs d'autres diagnostics psychiatriques ou de personnalité.</w:t>
      </w:r>
    </w:p>
    <w:p w14:paraId="174653C9" w14:textId="77777777" w:rsidR="00042AA8" w:rsidRDefault="00000000">
      <w:pPr>
        <w:spacing w:after="160"/>
        <w:jc w:val="both"/>
      </w:pPr>
      <w:r>
        <w:t>Le traitement de première intention repose sur la psychothérapie. La thérapie comportementale dialectique (TCD) a été la première approche à bénéficier d'un soutien empirique solide et demeure considérée comme la référence : elle cible la dysrégulation émotionnelle et comportementale, l'instabilité identitaire, la tolérance à la détresse et l'instabilité interpersonnelle. D'autres approches fondées sur des preuves existent, telles que la thérapie basée sur la mentalisation ou la psychothérapie centrée sur le transfert, mais se heurtent à d'importantes barrières de mise en œuvre du fait du niveau de spécialisation clinique requis. Ces psychothérapies restent par ailleurs coûteuses et peu accessibles : la TCD standard implique classiquement une prise en charge individuelle et de groupe hebdomadaire sur douze mois, difficile à mettre en œuvre dans de nombreux systèmes de santé publics. Aucun médicament n'est approuvé spécifiquement pour le TPB, et les données disponibles ne soutiennent pas l'efficacité d'un traitement pharmacologique isolé.</w:t>
      </w:r>
    </w:p>
    <w:p w14:paraId="0008FF32" w14:textId="77777777" w:rsidR="00042AA8" w:rsidRDefault="00000000">
      <w:pPr>
        <w:spacing w:after="160"/>
        <w:jc w:val="both"/>
      </w:pPr>
      <w:r>
        <w:t>C'est dans ce contexte de déficit d'options thérapeutiques que s'inscrit l'intérêt croissant pour le rôle potentiel des psychédéliques en psychiatrie. Ces substances se répartissent en trois grandes catégories : les psychédéliques classiques, agonistes des récepteurs sérotoninergiques 5-HT2A (psilocybine, LSD, DMT, mescaline) ; les entactogènes, comme la MDMA, aux effets psychoactifs plus doux et sans hallucinations ; et les anesthésiques dissociatifs, dont la kétamine, qui agissent par antagonisme des récepteurs NMDA du glutamate. La kétamine, mélange racémique de deux énantiomères, comprend également l'</w:t>
      </w:r>
      <w:proofErr w:type="spellStart"/>
      <w:r>
        <w:t>eskétamine</w:t>
      </w:r>
      <w:proofErr w:type="spellEnd"/>
      <w:r>
        <w:t>, énantiomère S de plus en plus étudié séparément.</w:t>
      </w:r>
    </w:p>
    <w:p w14:paraId="7432C4FA" w14:textId="77777777" w:rsidR="00042AA8" w:rsidRDefault="00000000">
      <w:pPr>
        <w:spacing w:after="160"/>
        <w:jc w:val="both"/>
      </w:pPr>
      <w:r>
        <w:t>Ces agents ont montré des résultats prometteurs dans des troubles fréquemment comorbides du TPB : dépression résistante, anxiété généralisée, TSPT, TOC et troubles liés à l'usage de substances. Pourtant, les patients TPB ont historiquement été exclus des essais sur les psychédéliques, en raison de préoccupations perçues quant à leur capacité à établir une alliance thérapeutique stable, et de la stigmatisation qui freine plus généralement leur participation à la recherche.</w:t>
      </w:r>
    </w:p>
    <w:p w14:paraId="5ABBA447" w14:textId="77777777" w:rsidR="00042AA8" w:rsidRDefault="00000000">
      <w:pPr>
        <w:spacing w:after="160"/>
        <w:jc w:val="both"/>
      </w:pPr>
      <w:r>
        <w:lastRenderedPageBreak/>
        <w:t>Objectif : cette revue narrative vise à rassembler et synthétiser les données existantes sur l'efficacité et la sécurité des psychédéliques, pris comme classe large, chez des adultes présentant un TPB.</w:t>
      </w:r>
    </w:p>
    <w:p w14:paraId="6B9A3033" w14:textId="77777777" w:rsidR="00042AA8" w:rsidRDefault="00000000">
      <w:pPr>
        <w:pStyle w:val="Titre1"/>
        <w:spacing w:before="320" w:after="160"/>
      </w:pPr>
      <w:r>
        <w:t>Méthodologie</w:t>
      </w:r>
    </w:p>
    <w:p w14:paraId="153810C3" w14:textId="77777777" w:rsidR="00042AA8" w:rsidRDefault="00000000">
      <w:pPr>
        <w:spacing w:after="160"/>
        <w:jc w:val="both"/>
      </w:pPr>
      <w:r>
        <w:t xml:space="preserve">Les bases de données Ovid MEDLINE, </w:t>
      </w:r>
      <w:proofErr w:type="spellStart"/>
      <w:r>
        <w:t>PsycInfo</w:t>
      </w:r>
      <w:proofErr w:type="spellEnd"/>
      <w:r>
        <w:t xml:space="preserve"> et Embase ont été interrogées depuis leur date de création respective (1946, 1806 et 1947) jusqu'au 29 septembre 2025, avec les termes « trouble de la personnalité borderline » et « hallucinogènes », et leurs variantes.</w:t>
      </w:r>
    </w:p>
    <w:p w14:paraId="22E7C29D" w14:textId="77777777" w:rsidR="00042AA8" w:rsidRDefault="00000000">
      <w:pPr>
        <w:spacing w:after="160"/>
        <w:jc w:val="both"/>
      </w:pPr>
      <w:r>
        <w:t xml:space="preserve">Compte tenu de la rareté des études interventionnelles disponibles dans cette population, les auteurs ont volontairement adopté des critères d'inclusion larges : études en texte intégral, disponibles en anglais, portant sur des adultes (18 ans et plus) présentant un TPB et ayant reçu au moins une dose d'un psychédélique — psilocybine, kétamine, </w:t>
      </w:r>
      <w:proofErr w:type="spellStart"/>
      <w:r>
        <w:t>eskétamine</w:t>
      </w:r>
      <w:proofErr w:type="spellEnd"/>
      <w:r>
        <w:t>, MDMA ou LSD notamment — administrée à visée médicale ou récréative, sans distinction selon la méthode d'établissement du diagnostic.</w:t>
      </w:r>
    </w:p>
    <w:p w14:paraId="3021B63C" w14:textId="77777777" w:rsidR="00042AA8" w:rsidRDefault="00000000">
      <w:pPr>
        <w:spacing w:after="160"/>
        <w:jc w:val="both"/>
      </w:pPr>
      <w:r>
        <w:t>La recherche a généré 697 études après suppression des doublons. Après criblage des titres et résumés, 86 ont été retenues pour une lecture en texte intégral ; 611 ont été exclues à ce stade (absence de TPB, absence d'usage de psychédéliques, type d'étude incorrect, langue autre que l'anglais). Après lecture intégrale, 64 études supplémentaires ont été exclues, aboutissant à 22 études incluses dans l'analyse finale.</w:t>
      </w:r>
    </w:p>
    <w:p w14:paraId="1858F44A" w14:textId="77777777" w:rsidR="00042AA8" w:rsidRDefault="00000000">
      <w:pPr>
        <w:pStyle w:val="Titre1"/>
        <w:spacing w:before="320" w:after="160"/>
      </w:pPr>
      <w:r>
        <w:t>Résultats</w:t>
      </w:r>
    </w:p>
    <w:p w14:paraId="27A08237" w14:textId="77777777" w:rsidR="00042AA8" w:rsidRDefault="00000000">
      <w:pPr>
        <w:spacing w:after="160"/>
        <w:jc w:val="both"/>
      </w:pPr>
      <w:r>
        <w:t>Les 22 études incluses présentent une grande diversité méthodologique : deux essais contrôlés randomisés, deux essais pilotes en ouvert, cinq analyses rétrospectives, onze rapports ou séries de cas, une étude qualitative et une étude observationnelle par évaluation écologique momentanée. La grande majorité (vingt sur vingt-deux) a été publiée depuis 2020. Lorsque l'âge était précisé, les participants avec TPB avaient entre la fin de l'adolescence et 60 ans. Tous présentaient au moins une comorbidité psychiatrique, le plus souvent un trouble de l'humeur résistant au traitement ; d'autres comorbidités fréquentes incluaient les troubles anxieux, les troubles liés à l'usage de substances, le TSPT, le TOC et les troubles des conduites alimentaires.</w:t>
      </w:r>
    </w:p>
    <w:p w14:paraId="53B04ED2" w14:textId="77777777" w:rsidR="00042AA8" w:rsidRDefault="00000000">
      <w:pPr>
        <w:spacing w:after="160"/>
        <w:jc w:val="both"/>
      </w:pPr>
      <w:r>
        <w:t>La kétamine est l'agent le plus étudié, avec quatorze études, principalement par voie intraveineuse mais aussi intranasale, orale, intramusculaire et sublinguale. L'</w:t>
      </w:r>
      <w:proofErr w:type="spellStart"/>
      <w:r>
        <w:t>eskétamine</w:t>
      </w:r>
      <w:proofErr w:type="spellEnd"/>
      <w:r>
        <w:t xml:space="preserve"> seule fait l'objet de trois études, majoritairement intranasales ; la combinaison des deux agents de deux études ; et la psilocybine d'une seule étude, en dose orale unique associée à une psychothérapie de groupe. Les protocoles variaient fortement en doses, voies d'administration et durées de traitement, allant de quelques jours à plus de deux ans, avec des fréquences d'administration allant du quotidien au mensuel.</w:t>
      </w:r>
    </w:p>
    <w:p w14:paraId="2DCCBC23" w14:textId="77777777" w:rsidR="00042AA8" w:rsidRDefault="00000000">
      <w:pPr>
        <w:spacing w:after="160"/>
        <w:jc w:val="both"/>
      </w:pPr>
      <w:r>
        <w:t xml:space="preserve">Sur le plan de l'efficacité, seules quatre études ont mesuré spécifiquement les symptômes de TPB à l'aide d'échelles validées (Borderline </w:t>
      </w:r>
      <w:proofErr w:type="spellStart"/>
      <w:r>
        <w:t>Symptom</w:t>
      </w:r>
      <w:proofErr w:type="spellEnd"/>
      <w:r>
        <w:t xml:space="preserve"> List-23, </w:t>
      </w:r>
      <w:proofErr w:type="spellStart"/>
      <w:r>
        <w:t>Zanarini</w:t>
      </w:r>
      <w:proofErr w:type="spellEnd"/>
      <w:r>
        <w:t xml:space="preserve"> Rating Scale, critères DSM-5), deux autres ayant rapporté une évolution symptomatique du TPB sans outil de mesure dédié. Une analyse rétrospective portant sur cinquante patients TPB a montré une réduction statistiquement et cliniquement significative des symptômes de TPB après quatre perfusions de kétamine intraveineuse, la sévérité moyenne passant d'un niveau élevé à modéré. Un essai pilote randomisé comparant une dose unique de kétamine à du midazolam a montré une amélioration significative des symptômes de TPB et d'anxiété dans les deux groupes, sans différence significative entre eux, mais un bénéfice significativement supérieur du fonctionnement socio-professionnel sous kétamine. Plusieurs rapports de cas ont par ailleurs décrit des améliorations marquées et durables : une kétamine sublinguale à très faible dose administrée quotidiennement pendant dix mois a été associée à la disparition des critères diagnostiques du TPB chez une patiente ; une </w:t>
      </w:r>
      <w:proofErr w:type="spellStart"/>
      <w:r>
        <w:t>eskétamine</w:t>
      </w:r>
      <w:proofErr w:type="spellEnd"/>
      <w:r>
        <w:t xml:space="preserve"> intranasale prolongée sur environ un an et demi a permis une réduction notable de l'impulsivité et de l'instabilité affective, ainsi qu'une diminution marquée de la fréquence des automutilations ; et une psychothérapie assistée par kétamine sur neuf séances a montré une résolution progressive de l'impulsivité, de l'agitation, de la suicidalité et du sentiment chronique de vide.</w:t>
      </w:r>
    </w:p>
    <w:p w14:paraId="225A4922" w14:textId="5924BB93" w:rsidR="00042AA8" w:rsidRDefault="00000000">
      <w:pPr>
        <w:spacing w:after="160"/>
        <w:jc w:val="both"/>
      </w:pPr>
      <w:r>
        <w:t xml:space="preserve">Les études restantes, centrées sur d'autres critères de jugement comme la dépression ou la suicidalité, ont néanmoins fourni des données indirectement favorables chez des patients TPB, bien que de façon </w:t>
      </w:r>
      <w:r w:rsidR="00725D49">
        <w:t xml:space="preserve">   </w:t>
      </w:r>
      <w:r>
        <w:t xml:space="preserve">hétérogène ; l'une d'elles a notamment observé des taux de réponse à la kétamine intranasale plus faibles </w:t>
      </w:r>
      <w:r>
        <w:lastRenderedPageBreak/>
        <w:t>chez les patients présentant un trouble de la personnalité, sans lien toutefois avec la sévérité auto-rapportée des symptômes de TPB.</w:t>
      </w:r>
    </w:p>
    <w:p w14:paraId="7CB45C96" w14:textId="77777777" w:rsidR="00042AA8" w:rsidRDefault="00000000">
      <w:pPr>
        <w:spacing w:after="160"/>
        <w:jc w:val="both"/>
      </w:pPr>
      <w:r>
        <w:t>Concernant la sécurité, les effets indésirables les plus fréquents — dissociation, rêves vifs, anxiété, vertiges, nausées, hausse tensionnelle transitoire — étaient généralement légers, transitoires, et comparables à ceux rapportés dans d'autres populations recevant les mêmes agents. Plusieurs études ont néanmoins rapporté une aggravation de la suicidalité, de l'impulsivité ou du désespoir après des administrations répétées de kétamine ou d'</w:t>
      </w:r>
      <w:proofErr w:type="spellStart"/>
      <w:r>
        <w:t>eskétamine</w:t>
      </w:r>
      <w:proofErr w:type="spellEnd"/>
      <w:r>
        <w:t xml:space="preserve"> intraveineuses, ayant conduit à l'arrêt du traitement dans certains cas. Dans l'unique étude sur la psilocybine, un participant TPB a présenté une tentative de suicide et un épisode psychotique bref, jugés non liés au traitement par les auteurs, dans un contexte de deuil et de rechute de consommation de stimulants. Une seule étude a évalué prospectivement le risque de mésusage post-traitement, sans signe de </w:t>
      </w:r>
      <w:proofErr w:type="spellStart"/>
      <w:r>
        <w:t>craving</w:t>
      </w:r>
      <w:proofErr w:type="spellEnd"/>
      <w:r>
        <w:t xml:space="preserve"> ni de majoration des doses.</w:t>
      </w:r>
    </w:p>
    <w:p w14:paraId="2E50F262" w14:textId="77777777" w:rsidR="00042AA8" w:rsidRDefault="00000000">
      <w:pPr>
        <w:spacing w:after="160"/>
        <w:jc w:val="both"/>
      </w:pPr>
      <w:r>
        <w:t>Quatre essais cliniques portant sur les psychédéliques dans le TPB étaient recensés sur ClinicalTrials.gov en octobre 2025 — un sur la psilocybine, deux sur la kétamine et un sur la MDMA — reflétant un champ de recherche encore émergent.</w:t>
      </w:r>
    </w:p>
    <w:p w14:paraId="726F783C" w14:textId="77777777" w:rsidR="00042AA8" w:rsidRDefault="00000000">
      <w:pPr>
        <w:pStyle w:val="Titre1"/>
        <w:spacing w:before="320" w:after="160"/>
      </w:pPr>
      <w:r>
        <w:t>Discussion</w:t>
      </w:r>
    </w:p>
    <w:p w14:paraId="39647F72" w14:textId="77777777" w:rsidR="00042AA8" w:rsidRDefault="00000000">
      <w:pPr>
        <w:spacing w:after="160"/>
        <w:jc w:val="both"/>
      </w:pPr>
      <w:r>
        <w:t>Les résultats disponibles suggèrent que la kétamine et l'</w:t>
      </w:r>
      <w:proofErr w:type="spellStart"/>
      <w:r>
        <w:t>eskétamine</w:t>
      </w:r>
      <w:proofErr w:type="spellEnd"/>
      <w:r>
        <w:t xml:space="preserve"> pourraient améliorer les symptômes centraux du TPB, avec une ampleur parfois comparable à celle rapportée pour la TCD sur les mêmes échelles, via un mécanisme passant par l'antagonisme des récepteurs NMDA et ses effets en aval sur la neuroplasticité et la synaptogenèse. Pour la psilocybine, l'hypothèse d'un bénéfice repose sur des effets documentés dans d'autres populations concernant l'identité, le sentiment de connexion aux autres et l'acceptation de soi, mais reste à démontrer spécifiquement dans le TPB.</w:t>
      </w:r>
    </w:p>
    <w:p w14:paraId="5F7A16BF" w14:textId="77777777" w:rsidR="00042AA8" w:rsidRDefault="00000000">
      <w:pPr>
        <w:spacing w:after="160"/>
        <w:jc w:val="both"/>
      </w:pPr>
      <w:r>
        <w:t>Plusieurs limites affectent toutefois l'interprétation de ces données. La majorité des études sont des études observationnelles non aveugles, à petits effectifs, avec des critères de jugement du TPB rarement standardisés. Les traitements concomitants ne sont pas toujours contrôlés, ce qui complique l'attribution des améliorations observées au seul effet du psychédélique. Les données longitudinales sur le risque de mésusage restent rares, malgré une prévalence élevée de troubles liés à l'usage de substances dans le TPB. Enfin, la comorbidité quasi universelle avec un trouble de l'humeur résistant limite la généralisation des résultats aux patients TPB sans cette comorbidité. Les auteurs relient une partie de ces difficultés à la controverse persistante entourant la définition catégorielle du TPB dans le DSM-5, et suggèrent qu'une approche dimensionnelle pourrait être plus adaptée aux futures recherches sur les psychédéliques dans ce trouble.</w:t>
      </w:r>
    </w:p>
    <w:p w14:paraId="69C79186" w14:textId="77777777" w:rsidR="00042AA8" w:rsidRDefault="00000000">
      <w:pPr>
        <w:spacing w:after="160"/>
        <w:jc w:val="both"/>
      </w:pPr>
      <w:r>
        <w:t>Sur le plan de l'implémentation clinique, les auteurs soulignent que le TPB pourrait nécessiter des intervalles de traitement et de suivi plus longs que la dépression pour objectiver une amélioration durable, et appellent à un encadrement de sécurité renforcé, incluant une surveillance rapprochée, l'exclusion des patients à risque suicidaire aigu, et l'intégration du traitement dans un cadre thérapeutique structuré tel que la TCD.</w:t>
      </w:r>
    </w:p>
    <w:p w14:paraId="2826B05A" w14:textId="77777777" w:rsidR="00042AA8" w:rsidRDefault="00000000">
      <w:pPr>
        <w:pStyle w:val="Titre1"/>
        <w:spacing w:before="320" w:after="160"/>
      </w:pPr>
      <w:r>
        <w:t>Conclusion</w:t>
      </w:r>
    </w:p>
    <w:p w14:paraId="014A7252" w14:textId="3632CE5F" w:rsidR="0062722D" w:rsidRPr="0062722D" w:rsidRDefault="0062722D" w:rsidP="0062722D">
      <w:pPr>
        <w:spacing w:before="300"/>
        <w:rPr>
          <w:color w:val="000000" w:themeColor="text1"/>
        </w:rPr>
      </w:pPr>
      <w:r w:rsidRPr="0062722D">
        <w:rPr>
          <w:color w:val="000000" w:themeColor="text1"/>
        </w:rPr>
        <w:t>Il existe des données préliminaires suggérant que la kétamine, l'</w:t>
      </w:r>
      <w:proofErr w:type="spellStart"/>
      <w:r w:rsidRPr="0062722D">
        <w:rPr>
          <w:color w:val="000000" w:themeColor="text1"/>
        </w:rPr>
        <w:t>eskétamine</w:t>
      </w:r>
      <w:proofErr w:type="spellEnd"/>
      <w:r w:rsidRPr="0062722D">
        <w:rPr>
          <w:color w:val="000000" w:themeColor="text1"/>
        </w:rPr>
        <w:t xml:space="preserve"> et la psilocybine pourraient constituer des options de traitement sûres, efficaces et réalisables pour certains patients atteints de TPB, tant pour les symptômes centraux du trouble que pour les comorbidités psychiatriques associées. Ces preuves restent toutefois les plus limitées pour la psilocybine, pour laquelle une seule étude est disponible à ce jour. Les auteurs appellent à des essais cliniques randomisés de meilleure qualité méthodologique, incluant des critères de jugement spécifiques au TPB, des échantillons diversifiés et un suivi longitudinal suffisant, ainsi qu'une comparaison rigoureuse avec les traitements de référence actuels, afin de permettre l'élaboration de protocoles sûrs et efficaces pour cette population vulnérable, marquée par une morbidité et </w:t>
      </w:r>
      <w:r w:rsidRPr="0062722D">
        <w:rPr>
          <w:color w:val="000000" w:themeColor="text1"/>
        </w:rPr>
        <w:t>une mortalité élevée</w:t>
      </w:r>
      <w:r w:rsidRPr="0062722D">
        <w:rPr>
          <w:color w:val="000000" w:themeColor="text1"/>
        </w:rPr>
        <w:t>.</w:t>
      </w:r>
    </w:p>
    <w:p w14:paraId="56034A30" w14:textId="0007154C" w:rsidR="00080A72" w:rsidRDefault="00080A72">
      <w:pPr>
        <w:spacing w:before="300"/>
        <w:rPr>
          <w:color w:val="0070C0"/>
          <w:sz w:val="24"/>
          <w:szCs w:val="24"/>
        </w:rPr>
      </w:pPr>
    </w:p>
    <w:p w14:paraId="47EC45A4" w14:textId="6C057791" w:rsidR="00042AA8" w:rsidRPr="001A481B" w:rsidRDefault="001A481B">
      <w:pPr>
        <w:spacing w:before="300"/>
        <w:rPr>
          <w:b/>
          <w:bCs/>
          <w:i/>
          <w:iCs/>
          <w:color w:val="0070C0"/>
          <w:sz w:val="24"/>
          <w:szCs w:val="24"/>
        </w:rPr>
      </w:pPr>
      <w:r w:rsidRPr="001A481B">
        <w:rPr>
          <w:color w:val="0070C0"/>
          <w:sz w:val="24"/>
          <w:szCs w:val="24"/>
        </w:rPr>
        <w:lastRenderedPageBreak/>
        <w:t xml:space="preserve"> </w:t>
      </w:r>
      <w:r w:rsidR="00080A72">
        <w:rPr>
          <w:color w:val="0070C0"/>
          <w:sz w:val="24"/>
          <w:szCs w:val="24"/>
        </w:rPr>
        <w:t xml:space="preserve">                            </w:t>
      </w:r>
      <w:r w:rsidR="000A6A68">
        <w:rPr>
          <w:color w:val="0070C0"/>
          <w:sz w:val="24"/>
          <w:szCs w:val="24"/>
        </w:rPr>
        <w:t xml:space="preserve">  </w:t>
      </w:r>
      <w:r w:rsidR="00080A72">
        <w:rPr>
          <w:color w:val="0070C0"/>
          <w:sz w:val="24"/>
          <w:szCs w:val="24"/>
        </w:rPr>
        <w:t xml:space="preserve">                       </w:t>
      </w:r>
      <w:r w:rsidRPr="001A481B">
        <w:rPr>
          <w:color w:val="0070C0"/>
          <w:sz w:val="24"/>
          <w:szCs w:val="24"/>
        </w:rPr>
        <w:t xml:space="preserve">    </w:t>
      </w:r>
      <w:r w:rsidRPr="001A481B">
        <w:rPr>
          <w:b/>
          <w:bCs/>
          <w:i/>
          <w:iCs/>
          <w:color w:val="0070C0"/>
          <w:sz w:val="24"/>
          <w:szCs w:val="24"/>
        </w:rPr>
        <w:t>Traduit de l’anglais et synthétisé par :</w:t>
      </w:r>
    </w:p>
    <w:p w14:paraId="5B2DBA4D" w14:textId="3686BCE1" w:rsidR="001A481B" w:rsidRPr="001A481B" w:rsidRDefault="001A481B">
      <w:pPr>
        <w:spacing w:before="300"/>
        <w:rPr>
          <w:b/>
          <w:bCs/>
          <w:i/>
          <w:iCs/>
          <w:color w:val="0070C0"/>
          <w:sz w:val="24"/>
          <w:szCs w:val="24"/>
        </w:rPr>
      </w:pPr>
      <w:r w:rsidRPr="001A481B">
        <w:rPr>
          <w:b/>
          <w:bCs/>
          <w:i/>
          <w:iCs/>
          <w:color w:val="0070C0"/>
          <w:sz w:val="24"/>
          <w:szCs w:val="24"/>
        </w:rPr>
        <w:t xml:space="preserve">                                                                   DR ZEROUALI MOHAMED </w:t>
      </w:r>
    </w:p>
    <w:p w14:paraId="705A51BF" w14:textId="52A88A74" w:rsidR="001A481B" w:rsidRPr="001A481B" w:rsidRDefault="001A481B">
      <w:pPr>
        <w:spacing w:before="300"/>
        <w:rPr>
          <w:b/>
          <w:bCs/>
          <w:i/>
          <w:iCs/>
          <w:color w:val="0070C0"/>
          <w:sz w:val="24"/>
          <w:szCs w:val="24"/>
        </w:rPr>
      </w:pPr>
      <w:r w:rsidRPr="001A481B">
        <w:rPr>
          <w:b/>
          <w:bCs/>
          <w:i/>
          <w:iCs/>
          <w:color w:val="0070C0"/>
          <w:sz w:val="24"/>
          <w:szCs w:val="24"/>
        </w:rPr>
        <w:t xml:space="preserve">                                                         Hôpital Militaire Oued Eddahab Agadir</w:t>
      </w:r>
    </w:p>
    <w:p w14:paraId="09C596A3" w14:textId="5AFA5163" w:rsidR="001A481B" w:rsidRPr="001A481B" w:rsidRDefault="001A481B">
      <w:pPr>
        <w:spacing w:before="300"/>
        <w:rPr>
          <w:b/>
          <w:bCs/>
          <w:i/>
          <w:iCs/>
          <w:color w:val="0070C0"/>
          <w:sz w:val="24"/>
          <w:szCs w:val="24"/>
        </w:rPr>
      </w:pPr>
      <w:r w:rsidRPr="001A481B">
        <w:rPr>
          <w:b/>
          <w:bCs/>
          <w:i/>
          <w:iCs/>
          <w:color w:val="0070C0"/>
          <w:sz w:val="24"/>
          <w:szCs w:val="24"/>
        </w:rPr>
        <w:t xml:space="preserve">                                     Centre Psychiatrique Universitaire – CHU Mohamed VI Agadir</w:t>
      </w:r>
    </w:p>
    <w:p w14:paraId="3DAD03F0" w14:textId="3B23A8A8" w:rsidR="001A481B" w:rsidRPr="001A481B" w:rsidRDefault="001A481B">
      <w:pPr>
        <w:spacing w:before="300"/>
        <w:rPr>
          <w:b/>
          <w:bCs/>
          <w:i/>
          <w:iCs/>
          <w:color w:val="0070C0"/>
          <w:sz w:val="24"/>
          <w:szCs w:val="24"/>
        </w:rPr>
      </w:pPr>
      <w:r w:rsidRPr="001A481B">
        <w:rPr>
          <w:b/>
          <w:bCs/>
          <w:i/>
          <w:iCs/>
          <w:color w:val="0070C0"/>
          <w:sz w:val="24"/>
          <w:szCs w:val="24"/>
        </w:rPr>
        <w:t xml:space="preserve">                                                                         Septembre 2026</w:t>
      </w:r>
    </w:p>
    <w:sectPr w:rsidR="001A481B" w:rsidRPr="001A481B">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02493"/>
    <w:multiLevelType w:val="hybridMultilevel"/>
    <w:tmpl w:val="E0829336"/>
    <w:lvl w:ilvl="0" w:tplc="F4CCDF3E">
      <w:start w:val="1"/>
      <w:numFmt w:val="bullet"/>
      <w:lvlText w:val="●"/>
      <w:lvlJc w:val="left"/>
      <w:pPr>
        <w:ind w:left="720" w:hanging="360"/>
      </w:pPr>
    </w:lvl>
    <w:lvl w:ilvl="1" w:tplc="C98CB180">
      <w:start w:val="1"/>
      <w:numFmt w:val="bullet"/>
      <w:lvlText w:val="○"/>
      <w:lvlJc w:val="left"/>
      <w:pPr>
        <w:ind w:left="1440" w:hanging="360"/>
      </w:pPr>
    </w:lvl>
    <w:lvl w:ilvl="2" w:tplc="0BD0A734">
      <w:start w:val="1"/>
      <w:numFmt w:val="bullet"/>
      <w:lvlText w:val="■"/>
      <w:lvlJc w:val="left"/>
      <w:pPr>
        <w:ind w:left="2160" w:hanging="360"/>
      </w:pPr>
    </w:lvl>
    <w:lvl w:ilvl="3" w:tplc="FF1223B4">
      <w:start w:val="1"/>
      <w:numFmt w:val="bullet"/>
      <w:lvlText w:val="●"/>
      <w:lvlJc w:val="left"/>
      <w:pPr>
        <w:ind w:left="2880" w:hanging="360"/>
      </w:pPr>
    </w:lvl>
    <w:lvl w:ilvl="4" w:tplc="26641F56">
      <w:start w:val="1"/>
      <w:numFmt w:val="bullet"/>
      <w:lvlText w:val="○"/>
      <w:lvlJc w:val="left"/>
      <w:pPr>
        <w:ind w:left="3600" w:hanging="360"/>
      </w:pPr>
    </w:lvl>
    <w:lvl w:ilvl="5" w:tplc="82D80E92">
      <w:start w:val="1"/>
      <w:numFmt w:val="bullet"/>
      <w:lvlText w:val="■"/>
      <w:lvlJc w:val="left"/>
      <w:pPr>
        <w:ind w:left="4320" w:hanging="360"/>
      </w:pPr>
    </w:lvl>
    <w:lvl w:ilvl="6" w:tplc="643CCC8A">
      <w:start w:val="1"/>
      <w:numFmt w:val="bullet"/>
      <w:lvlText w:val="●"/>
      <w:lvlJc w:val="left"/>
      <w:pPr>
        <w:ind w:left="5040" w:hanging="360"/>
      </w:pPr>
    </w:lvl>
    <w:lvl w:ilvl="7" w:tplc="67C6B1D0">
      <w:start w:val="1"/>
      <w:numFmt w:val="bullet"/>
      <w:lvlText w:val="●"/>
      <w:lvlJc w:val="left"/>
      <w:pPr>
        <w:ind w:left="5760" w:hanging="360"/>
      </w:pPr>
    </w:lvl>
    <w:lvl w:ilvl="8" w:tplc="202E0ECA">
      <w:start w:val="1"/>
      <w:numFmt w:val="bullet"/>
      <w:lvlText w:val="●"/>
      <w:lvlJc w:val="left"/>
      <w:pPr>
        <w:ind w:left="6480" w:hanging="360"/>
      </w:pPr>
    </w:lvl>
  </w:abstractNum>
  <w:num w:numId="1" w16cid:durableId="19303081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AA8"/>
    <w:rsid w:val="00042AA8"/>
    <w:rsid w:val="00080A72"/>
    <w:rsid w:val="000A6A68"/>
    <w:rsid w:val="001A481B"/>
    <w:rsid w:val="001E3409"/>
    <w:rsid w:val="0062722D"/>
    <w:rsid w:val="00725D49"/>
    <w:rsid w:val="00D04A56"/>
    <w:rsid w:val="00EF18E0"/>
    <w:rsid w:val="00FB115E"/>
    <w:rsid w:val="00FE7E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F9A4F"/>
  <w15:docId w15:val="{835E23B7-1B23-4E90-92AE-DCDCE16BF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1888</Words>
  <Characters>10385</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 VPRO</cp:lastModifiedBy>
  <cp:revision>4</cp:revision>
  <dcterms:created xsi:type="dcterms:W3CDTF">2026-09-20T02:56:00Z</dcterms:created>
  <dcterms:modified xsi:type="dcterms:W3CDTF">2026-09-20T18:38:00Z</dcterms:modified>
</cp:coreProperties>
</file>