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8F03F" w14:textId="77777777" w:rsidR="007151EB" w:rsidRDefault="007151EB" w:rsidP="0063176F">
      <w:pPr>
        <w:spacing w:before="240" w:line="360" w:lineRule="auto"/>
        <w:outlineLvl w:val="0"/>
        <w:rPr>
          <w:b/>
          <w:sz w:val="32"/>
          <w:szCs w:val="32"/>
        </w:rPr>
      </w:pPr>
    </w:p>
    <w:p w14:paraId="7365593B" w14:textId="77777777" w:rsidR="007151EB" w:rsidRPr="007151EB" w:rsidRDefault="007151EB" w:rsidP="007151EB">
      <w:pPr>
        <w:spacing w:before="240" w:line="360" w:lineRule="auto"/>
        <w:jc w:val="both"/>
        <w:outlineLvl w:val="0"/>
        <w:rPr>
          <w:sz w:val="32"/>
          <w:szCs w:val="32"/>
          <w:u w:val="single"/>
          <w:lang w:val="en-US"/>
        </w:rPr>
      </w:pPr>
      <w:r w:rsidRPr="007151EB">
        <w:rPr>
          <w:sz w:val="32"/>
          <w:szCs w:val="32"/>
          <w:u w:val="single"/>
          <w:lang w:val="en-US"/>
        </w:rPr>
        <w:t xml:space="preserve">Article : </w:t>
      </w:r>
    </w:p>
    <w:p w14:paraId="73A67AD3" w14:textId="77777777" w:rsidR="0063176F" w:rsidRDefault="00614472" w:rsidP="0063176F">
      <w:pPr>
        <w:spacing w:before="240" w:line="360" w:lineRule="auto"/>
        <w:jc w:val="both"/>
        <w:outlineLvl w:val="1"/>
        <w:rPr>
          <w:rFonts w:ascii="Times New Roman" w:eastAsia="Times New Roman" w:hAnsi="Times New Roman" w:cs="Times New Roman"/>
          <w:sz w:val="28"/>
          <w:szCs w:val="28"/>
          <w:lang w:val="fr-MA" w:eastAsia="fr-FR"/>
        </w:rPr>
      </w:pPr>
      <w:r w:rsidRPr="00614472">
        <w:rPr>
          <w:rFonts w:ascii="Times New Roman" w:eastAsia="Times New Roman" w:hAnsi="Times New Roman" w:cs="Times New Roman"/>
          <w:b/>
          <w:bCs/>
          <w:sz w:val="40"/>
          <w:szCs w:val="40"/>
          <w:lang w:val="en-US" w:eastAsia="fr-FR"/>
        </w:rPr>
        <w:t>Management of Treatment-Resistant Depression: An Updated Narrative Review of Current and Emerging Treatments.</w:t>
      </w:r>
      <w:r w:rsidRPr="00614472">
        <w:rPr>
          <w:rFonts w:ascii="Times New Roman" w:eastAsia="Times New Roman" w:hAnsi="Times New Roman" w:cs="Times New Roman"/>
          <w:b/>
          <w:bCs/>
          <w:sz w:val="44"/>
          <w:szCs w:val="44"/>
          <w:lang w:val="en-US" w:eastAsia="fr-FR"/>
        </w:rPr>
        <w:br/>
      </w:r>
      <w:r w:rsidRPr="0063176F">
        <w:rPr>
          <w:rFonts w:ascii="Times New Roman" w:eastAsia="Times New Roman" w:hAnsi="Times New Roman" w:cs="Times New Roman"/>
          <w:sz w:val="28"/>
          <w:szCs w:val="28"/>
          <w:lang w:val="fr-MA" w:eastAsia="fr-FR"/>
        </w:rPr>
        <w:t>Juan Pablo Berlin Viniegra</w:t>
      </w:r>
    </w:p>
    <w:p w14:paraId="4D7EDD05" w14:textId="35575D63" w:rsidR="00614472" w:rsidRPr="0063176F" w:rsidRDefault="00614472" w:rsidP="0063176F">
      <w:pPr>
        <w:spacing w:before="240" w:line="360" w:lineRule="auto"/>
        <w:jc w:val="both"/>
        <w:outlineLvl w:val="1"/>
        <w:rPr>
          <w:rFonts w:ascii="Times New Roman" w:eastAsia="Times New Roman" w:hAnsi="Times New Roman" w:cs="Times New Roman"/>
          <w:sz w:val="28"/>
          <w:szCs w:val="28"/>
          <w:lang w:val="fr-MA" w:eastAsia="fr-FR"/>
        </w:rPr>
      </w:pPr>
      <w:r w:rsidRPr="00614472">
        <w:rPr>
          <w:rFonts w:ascii="Times New Roman" w:eastAsia="Times New Roman" w:hAnsi="Times New Roman" w:cs="Times New Roman"/>
          <w:b/>
          <w:bCs/>
          <w:sz w:val="24"/>
          <w:szCs w:val="24"/>
          <w:lang w:eastAsia="fr-FR"/>
        </w:rPr>
        <w:t>1. Introduction</w:t>
      </w:r>
    </w:p>
    <w:p w14:paraId="16F1E488"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dépression résistante au traitement (DRT) constitue un défi majeur en psychiatrie. Elle est généralement définie par l’absence de rémission après </w:t>
      </w:r>
      <w:r w:rsidRPr="00614472">
        <w:rPr>
          <w:rFonts w:ascii="Times New Roman" w:eastAsia="Times New Roman" w:hAnsi="Times New Roman" w:cs="Times New Roman"/>
          <w:b/>
          <w:bCs/>
          <w:sz w:val="24"/>
          <w:szCs w:val="24"/>
          <w:lang w:eastAsia="fr-FR"/>
        </w:rPr>
        <w:t>au moins deux essais d’antidépresseurs correctement conduits</w:t>
      </w:r>
      <w:r w:rsidRPr="00614472">
        <w:rPr>
          <w:rFonts w:ascii="Times New Roman" w:eastAsia="Times New Roman" w:hAnsi="Times New Roman" w:cs="Times New Roman"/>
          <w:sz w:val="24"/>
          <w:szCs w:val="24"/>
          <w:lang w:eastAsia="fr-FR"/>
        </w:rPr>
        <w:t>. Elle est associée à une persistance des symptômes, une altération du fonctionnement, une diminution de la qualité de vie, une morbidité accrue et une utilisation plus importante des soins de santé.</w:t>
      </w:r>
    </w:p>
    <w:p w14:paraId="58D8F578"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Les patients présentant une DRT ont tendance à avoir une évolution plus chronique, davantage de rechutes, une dégradation fonctionnelle plus importante et des résultats globaux moins favorables que ceux répondant aux premiers traitements. La prise en charge repose donc sur une stratégie individualisée tenant compte des caractéristiques du patient, des réponses aux traitements antérieurs et de la sévérité de la maladie.</w:t>
      </w:r>
    </w:p>
    <w:p w14:paraId="44E5BDF3"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2. Prise en charge conventionnelle</w:t>
      </w:r>
    </w:p>
    <w:p w14:paraId="3CB4FA14"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Le traitement initial de l’épisode dépressif majeur repose principalement sur les antidépresseurs, notamment les </w:t>
      </w:r>
      <w:r w:rsidRPr="00614472">
        <w:rPr>
          <w:rFonts w:ascii="Times New Roman" w:eastAsia="Times New Roman" w:hAnsi="Times New Roman" w:cs="Times New Roman"/>
          <w:b/>
          <w:bCs/>
          <w:sz w:val="24"/>
          <w:szCs w:val="24"/>
          <w:lang w:eastAsia="fr-FR"/>
        </w:rPr>
        <w:t>ISRS</w:t>
      </w:r>
      <w:r w:rsidRPr="00614472">
        <w:rPr>
          <w:rFonts w:ascii="Times New Roman" w:eastAsia="Times New Roman" w:hAnsi="Times New Roman" w:cs="Times New Roman"/>
          <w:sz w:val="24"/>
          <w:szCs w:val="24"/>
          <w:lang w:eastAsia="fr-FR"/>
        </w:rPr>
        <w:t xml:space="preserve"> et les </w:t>
      </w:r>
      <w:r w:rsidRPr="00614472">
        <w:rPr>
          <w:rFonts w:ascii="Times New Roman" w:eastAsia="Times New Roman" w:hAnsi="Times New Roman" w:cs="Times New Roman"/>
          <w:b/>
          <w:bCs/>
          <w:sz w:val="24"/>
          <w:szCs w:val="24"/>
          <w:lang w:eastAsia="fr-FR"/>
        </w:rPr>
        <w:t>IRSN</w:t>
      </w:r>
      <w:r w:rsidRPr="00614472">
        <w:rPr>
          <w:rFonts w:ascii="Times New Roman" w:eastAsia="Times New Roman" w:hAnsi="Times New Roman" w:cs="Times New Roman"/>
          <w:sz w:val="24"/>
          <w:szCs w:val="24"/>
          <w:lang w:eastAsia="fr-FR"/>
        </w:rPr>
        <w:t>.</w:t>
      </w:r>
    </w:p>
    <w:p w14:paraId="05EAB333"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En cas de réponse insuffisante à un premier traitement, plusieurs stratégies peuvent être envisagées :</w:t>
      </w:r>
    </w:p>
    <w:p w14:paraId="17E96E84" w14:textId="77777777" w:rsidR="00614472" w:rsidRPr="00614472" w:rsidRDefault="00614472" w:rsidP="0063176F">
      <w:pPr>
        <w:numPr>
          <w:ilvl w:val="0"/>
          <w:numId w:val="25"/>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optimisation de la dose ;</w:t>
      </w:r>
    </w:p>
    <w:p w14:paraId="71418043" w14:textId="77777777" w:rsidR="00614472" w:rsidRPr="00614472" w:rsidRDefault="00614472" w:rsidP="0063176F">
      <w:pPr>
        <w:numPr>
          <w:ilvl w:val="0"/>
          <w:numId w:val="25"/>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changement d’antidépresseur ;</w:t>
      </w:r>
    </w:p>
    <w:p w14:paraId="78E28106" w14:textId="77777777" w:rsidR="00614472" w:rsidRPr="00614472" w:rsidRDefault="00614472" w:rsidP="0063176F">
      <w:pPr>
        <w:numPr>
          <w:ilvl w:val="0"/>
          <w:numId w:val="25"/>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association d’antidépresseurs ayant des mécanismes d’action complémentaires.</w:t>
      </w:r>
    </w:p>
    <w:p w14:paraId="247CB898"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Dans la DRT, les stratégies d’</w:t>
      </w:r>
      <w:r w:rsidRPr="00614472">
        <w:rPr>
          <w:rFonts w:ascii="Times New Roman" w:eastAsia="Times New Roman" w:hAnsi="Times New Roman" w:cs="Times New Roman"/>
          <w:b/>
          <w:bCs/>
          <w:sz w:val="24"/>
          <w:szCs w:val="24"/>
          <w:lang w:eastAsia="fr-FR"/>
        </w:rPr>
        <w:t>augmentation pharmacologique</w:t>
      </w:r>
      <w:r w:rsidRPr="00614472">
        <w:rPr>
          <w:rFonts w:ascii="Times New Roman" w:eastAsia="Times New Roman" w:hAnsi="Times New Roman" w:cs="Times New Roman"/>
          <w:sz w:val="24"/>
          <w:szCs w:val="24"/>
          <w:lang w:eastAsia="fr-FR"/>
        </w:rPr>
        <w:t xml:space="preserve"> sont fréquemment utilisées avant de recourir à des traitements plus spécialisés. Parmi les agents utilisés figurent notamment :</w:t>
      </w:r>
    </w:p>
    <w:p w14:paraId="5FC26AF8" w14:textId="77777777" w:rsidR="00614472" w:rsidRPr="00614472" w:rsidRDefault="00614472" w:rsidP="0063176F">
      <w:pPr>
        <w:numPr>
          <w:ilvl w:val="0"/>
          <w:numId w:val="26"/>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le </w:t>
      </w:r>
      <w:r w:rsidRPr="00614472">
        <w:rPr>
          <w:rFonts w:ascii="Times New Roman" w:eastAsia="Times New Roman" w:hAnsi="Times New Roman" w:cs="Times New Roman"/>
          <w:b/>
          <w:bCs/>
          <w:sz w:val="24"/>
          <w:szCs w:val="24"/>
          <w:lang w:eastAsia="fr-FR"/>
        </w:rPr>
        <w:t>lithium</w:t>
      </w:r>
      <w:r w:rsidRPr="00614472">
        <w:rPr>
          <w:rFonts w:ascii="Times New Roman" w:eastAsia="Times New Roman" w:hAnsi="Times New Roman" w:cs="Times New Roman"/>
          <w:sz w:val="24"/>
          <w:szCs w:val="24"/>
          <w:lang w:eastAsia="fr-FR"/>
        </w:rPr>
        <w:t xml:space="preserve"> ;</w:t>
      </w:r>
    </w:p>
    <w:p w14:paraId="408E9E6F" w14:textId="77777777" w:rsidR="00614472" w:rsidRPr="00614472" w:rsidRDefault="00614472" w:rsidP="0063176F">
      <w:pPr>
        <w:numPr>
          <w:ilvl w:val="0"/>
          <w:numId w:val="26"/>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les antipsychotiques atypiques, notamment la </w:t>
      </w:r>
      <w:r w:rsidRPr="00614472">
        <w:rPr>
          <w:rFonts w:ascii="Times New Roman" w:eastAsia="Times New Roman" w:hAnsi="Times New Roman" w:cs="Times New Roman"/>
          <w:b/>
          <w:bCs/>
          <w:sz w:val="24"/>
          <w:szCs w:val="24"/>
          <w:lang w:eastAsia="fr-FR"/>
        </w:rPr>
        <w:t>quétiapine</w:t>
      </w:r>
      <w:r w:rsidRPr="00614472">
        <w:rPr>
          <w:rFonts w:ascii="Times New Roman" w:eastAsia="Times New Roman" w:hAnsi="Times New Roman" w:cs="Times New Roman"/>
          <w:sz w:val="24"/>
          <w:szCs w:val="24"/>
          <w:lang w:eastAsia="fr-FR"/>
        </w:rPr>
        <w:t xml:space="preserve"> et l’</w:t>
      </w:r>
      <w:r w:rsidRPr="00614472">
        <w:rPr>
          <w:rFonts w:ascii="Times New Roman" w:eastAsia="Times New Roman" w:hAnsi="Times New Roman" w:cs="Times New Roman"/>
          <w:b/>
          <w:bCs/>
          <w:sz w:val="24"/>
          <w:szCs w:val="24"/>
          <w:lang w:eastAsia="fr-FR"/>
        </w:rPr>
        <w:t>aripiprazole</w:t>
      </w:r>
      <w:r w:rsidRPr="00614472">
        <w:rPr>
          <w:rFonts w:ascii="Times New Roman" w:eastAsia="Times New Roman" w:hAnsi="Times New Roman" w:cs="Times New Roman"/>
          <w:sz w:val="24"/>
          <w:szCs w:val="24"/>
          <w:lang w:eastAsia="fr-FR"/>
        </w:rPr>
        <w:t xml:space="preserve"> ;</w:t>
      </w:r>
    </w:p>
    <w:p w14:paraId="3A60E935" w14:textId="77777777" w:rsidR="00614472" w:rsidRPr="00614472" w:rsidRDefault="00614472" w:rsidP="0063176F">
      <w:pPr>
        <w:numPr>
          <w:ilvl w:val="0"/>
          <w:numId w:val="26"/>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les hormones thyroïdiennes.</w:t>
      </w:r>
    </w:p>
    <w:p w14:paraId="32DF6AC6"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lastRenderedPageBreak/>
        <w:t>Ces stratégies peuvent améliorer la réponse chez certains patients, mais leur bénéfice est souvent modeste. La sédation, la prise de poids, les complications métaboliques et les problèmes de tolérance peuvent limiter leur utilisation prolongée. La lamotrigine a également été étudiée comme stratégie d’augmentation, mais son rôle est moins bien établi.</w:t>
      </w:r>
    </w:p>
    <w:p w14:paraId="40100393"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w:t>
      </w:r>
      <w:r w:rsidRPr="00614472">
        <w:rPr>
          <w:rFonts w:ascii="Times New Roman" w:eastAsia="Times New Roman" w:hAnsi="Times New Roman" w:cs="Times New Roman"/>
          <w:b/>
          <w:bCs/>
          <w:sz w:val="24"/>
          <w:szCs w:val="24"/>
          <w:lang w:eastAsia="fr-FR"/>
        </w:rPr>
        <w:t>psychothérapie</w:t>
      </w:r>
      <w:r w:rsidRPr="00614472">
        <w:rPr>
          <w:rFonts w:ascii="Times New Roman" w:eastAsia="Times New Roman" w:hAnsi="Times New Roman" w:cs="Times New Roman"/>
          <w:sz w:val="24"/>
          <w:szCs w:val="24"/>
          <w:lang w:eastAsia="fr-FR"/>
        </w:rPr>
        <w:t>, notamment la thérapie cognitivo-comportementale (TCC), conserve également une place importante et peut améliorer les résultats lorsqu’elle est associée au traitement pharmacologique. Cependant, une proportion importante de patients continue à présenter des symptômes malgré ces approches conventionnelles.</w:t>
      </w:r>
    </w:p>
    <w:p w14:paraId="7DBAEDAB"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3. Kétamine et eskétamine</w:t>
      </w:r>
    </w:p>
    <w:p w14:paraId="073CBF19"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kétamine constitue une évolution importante dans le traitement de la DRT. Il s’agit d’un antagoniste des récepteurs </w:t>
      </w:r>
      <w:r w:rsidRPr="00614472">
        <w:rPr>
          <w:rFonts w:ascii="Times New Roman" w:eastAsia="Times New Roman" w:hAnsi="Times New Roman" w:cs="Times New Roman"/>
          <w:b/>
          <w:bCs/>
          <w:sz w:val="24"/>
          <w:szCs w:val="24"/>
          <w:lang w:eastAsia="fr-FR"/>
        </w:rPr>
        <w:t>NMDA</w:t>
      </w:r>
      <w:r w:rsidRPr="00614472">
        <w:rPr>
          <w:rFonts w:ascii="Times New Roman" w:eastAsia="Times New Roman" w:hAnsi="Times New Roman" w:cs="Times New Roman"/>
          <w:sz w:val="24"/>
          <w:szCs w:val="24"/>
          <w:lang w:eastAsia="fr-FR"/>
        </w:rPr>
        <w:t>, agissant principalement sur la neurotransmission glutamatergique, contrairement aux antidépresseurs conventionnels qui ciblent principalement les systèmes monoaminergiques.</w:t>
      </w:r>
    </w:p>
    <w:p w14:paraId="407BCCDE"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L’un de ses principaux intérêts est sa </w:t>
      </w:r>
      <w:r w:rsidRPr="00614472">
        <w:rPr>
          <w:rFonts w:ascii="Times New Roman" w:eastAsia="Times New Roman" w:hAnsi="Times New Roman" w:cs="Times New Roman"/>
          <w:b/>
          <w:bCs/>
          <w:sz w:val="24"/>
          <w:szCs w:val="24"/>
          <w:lang w:eastAsia="fr-FR"/>
        </w:rPr>
        <w:t>rapidité d’action</w:t>
      </w:r>
      <w:r w:rsidRPr="00614472">
        <w:rPr>
          <w:rFonts w:ascii="Times New Roman" w:eastAsia="Times New Roman" w:hAnsi="Times New Roman" w:cs="Times New Roman"/>
          <w:sz w:val="24"/>
          <w:szCs w:val="24"/>
          <w:lang w:eastAsia="fr-FR"/>
        </w:rPr>
        <w:t xml:space="preserve"> : une amélioration clinique peut apparaître en quelques heures ou quelques jours, contrairement au délai habituellement observé avec les antidépresseurs classiques. Cette caractéristique est particulièrement intéressante dans les situations aiguës, notamment lors d’épisodes dépressifs sévères avec idées suicidaires ou altération fonctionnelle importante.</w:t>
      </w:r>
    </w:p>
    <w:p w14:paraId="686F2F9F"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w:t>
      </w:r>
      <w:r w:rsidRPr="00614472">
        <w:rPr>
          <w:rFonts w:ascii="Times New Roman" w:eastAsia="Times New Roman" w:hAnsi="Times New Roman" w:cs="Times New Roman"/>
          <w:b/>
          <w:bCs/>
          <w:sz w:val="24"/>
          <w:szCs w:val="24"/>
          <w:lang w:eastAsia="fr-FR"/>
        </w:rPr>
        <w:t>eskétamine intranasale</w:t>
      </w:r>
      <w:r w:rsidRPr="00614472">
        <w:rPr>
          <w:rFonts w:ascii="Times New Roman" w:eastAsia="Times New Roman" w:hAnsi="Times New Roman" w:cs="Times New Roman"/>
          <w:sz w:val="24"/>
          <w:szCs w:val="24"/>
          <w:lang w:eastAsia="fr-FR"/>
        </w:rPr>
        <w:t xml:space="preserve"> constitue une formulation standardisée utilisée dans la DRT et s’est progressivement intégrée à la pratique clinique.</w:t>
      </w:r>
    </w:p>
    <w:p w14:paraId="0C82D1D6"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Cependant, plusieurs limites existent :</w:t>
      </w:r>
    </w:p>
    <w:p w14:paraId="11B8C7E0" w14:textId="77777777" w:rsidR="00614472" w:rsidRPr="00614472" w:rsidRDefault="00614472" w:rsidP="0063176F">
      <w:pPr>
        <w:numPr>
          <w:ilvl w:val="0"/>
          <w:numId w:val="27"/>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l’effet antidépresseur peut ne pas être durable ;</w:t>
      </w:r>
    </w:p>
    <w:p w14:paraId="78D89AA3" w14:textId="77777777" w:rsidR="00614472" w:rsidRPr="00614472" w:rsidRDefault="00614472" w:rsidP="0063176F">
      <w:pPr>
        <w:numPr>
          <w:ilvl w:val="0"/>
          <w:numId w:val="27"/>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les rechutes après une réponse initiale sont fréquentes ;</w:t>
      </w:r>
    </w:p>
    <w:p w14:paraId="28B15D3F" w14:textId="77777777" w:rsidR="00614472" w:rsidRPr="00614472" w:rsidRDefault="00614472" w:rsidP="0063176F">
      <w:pPr>
        <w:numPr>
          <w:ilvl w:val="0"/>
          <w:numId w:val="27"/>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des administrations répétées peuvent être nécessaires ;</w:t>
      </w:r>
    </w:p>
    <w:p w14:paraId="37530172" w14:textId="77777777" w:rsidR="00614472" w:rsidRPr="00614472" w:rsidRDefault="00614472" w:rsidP="0063176F">
      <w:pPr>
        <w:numPr>
          <w:ilvl w:val="0"/>
          <w:numId w:val="27"/>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 coût et l’accessibilité peuvent limiter son utilisation ;</w:t>
      </w:r>
    </w:p>
    <w:p w14:paraId="066B37CD" w14:textId="77777777" w:rsidR="00614472" w:rsidRPr="00614472" w:rsidRDefault="00614472" w:rsidP="0063176F">
      <w:pPr>
        <w:numPr>
          <w:ilvl w:val="0"/>
          <w:numId w:val="27"/>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des symptômes dissociatifs et des élévations transitoires de la pression artérielle peuvent survenir ;</w:t>
      </w:r>
    </w:p>
    <w:p w14:paraId="5A486E97" w14:textId="77777777" w:rsidR="00614472" w:rsidRPr="00614472" w:rsidRDefault="00614472" w:rsidP="0063176F">
      <w:pPr>
        <w:numPr>
          <w:ilvl w:val="0"/>
          <w:numId w:val="27"/>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l’administration nécessite une supervision.</w:t>
      </w:r>
    </w:p>
    <w:p w14:paraId="27C77CC2"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Ainsi, la kétamine et l’eskétamine doivent plutôt être considérées comme des </w:t>
      </w:r>
      <w:r w:rsidRPr="00614472">
        <w:rPr>
          <w:rFonts w:ascii="Times New Roman" w:eastAsia="Times New Roman" w:hAnsi="Times New Roman" w:cs="Times New Roman"/>
          <w:b/>
          <w:bCs/>
          <w:sz w:val="24"/>
          <w:szCs w:val="24"/>
          <w:lang w:eastAsia="fr-FR"/>
        </w:rPr>
        <w:t>options complémentaires</w:t>
      </w:r>
      <w:r w:rsidRPr="00614472">
        <w:rPr>
          <w:rFonts w:ascii="Times New Roman" w:eastAsia="Times New Roman" w:hAnsi="Times New Roman" w:cs="Times New Roman"/>
          <w:sz w:val="24"/>
          <w:szCs w:val="24"/>
          <w:lang w:eastAsia="fr-FR"/>
        </w:rPr>
        <w:t xml:space="preserve"> aux traitements standards, notamment lorsque les stratégies conventionnelles ont échoué ou lorsqu’une amélioration rapide est recherchée.</w:t>
      </w:r>
    </w:p>
    <w:p w14:paraId="38B60B07"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4. Stimulation magnétique transcrânienne répétitive (rTMS)</w:t>
      </w:r>
    </w:p>
    <w:p w14:paraId="3AD1EFB9"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w:t>
      </w:r>
      <w:r w:rsidRPr="00614472">
        <w:rPr>
          <w:rFonts w:ascii="Times New Roman" w:eastAsia="Times New Roman" w:hAnsi="Times New Roman" w:cs="Times New Roman"/>
          <w:b/>
          <w:bCs/>
          <w:sz w:val="24"/>
          <w:szCs w:val="24"/>
          <w:lang w:eastAsia="fr-FR"/>
        </w:rPr>
        <w:t>rTMS</w:t>
      </w:r>
      <w:r w:rsidRPr="00614472">
        <w:rPr>
          <w:rFonts w:ascii="Times New Roman" w:eastAsia="Times New Roman" w:hAnsi="Times New Roman" w:cs="Times New Roman"/>
          <w:sz w:val="24"/>
          <w:szCs w:val="24"/>
          <w:lang w:eastAsia="fr-FR"/>
        </w:rPr>
        <w:t xml:space="preserve"> est une méthode de neuromodulation non invasive utilisant une stimulation électromagnétique dirigée vers des régions corticales impliquées dans la régulation de l’humeur, notamment le </w:t>
      </w:r>
      <w:r w:rsidRPr="00614472">
        <w:rPr>
          <w:rFonts w:ascii="Times New Roman" w:eastAsia="Times New Roman" w:hAnsi="Times New Roman" w:cs="Times New Roman"/>
          <w:b/>
          <w:bCs/>
          <w:sz w:val="24"/>
          <w:szCs w:val="24"/>
          <w:lang w:eastAsia="fr-FR"/>
        </w:rPr>
        <w:t>cortex préfrontal dorsolatéral</w:t>
      </w:r>
      <w:r w:rsidRPr="00614472">
        <w:rPr>
          <w:rFonts w:ascii="Times New Roman" w:eastAsia="Times New Roman" w:hAnsi="Times New Roman" w:cs="Times New Roman"/>
          <w:sz w:val="24"/>
          <w:szCs w:val="24"/>
          <w:lang w:eastAsia="fr-FR"/>
        </w:rPr>
        <w:t>.</w:t>
      </w:r>
    </w:p>
    <w:p w14:paraId="22E6606E"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Elle présente l'avantage de ne pas exposer le patient aux effets systémiques des médicaments. Les essais cliniques et méta-analyses montrent une réduction significative des symptômes chez certains patients présentant une DRT.</w:t>
      </w:r>
    </w:p>
    <w:p w14:paraId="7B0E15BA"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lastRenderedPageBreak/>
        <w:t>Sa tolérance est généralement favorable. Les effets indésirables sont le plus souvent modérés : céphalées, inconfort du cuir chevelu ou fatigue transitoire. Le risque de complications graves, notamment de crise convulsive, reste faible lorsque les protocoles sont correctement appliqués.</w:t>
      </w:r>
    </w:p>
    <w:p w14:paraId="6664827E"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Ses principales limites sont la variabilité de la réponse et la nécessité de nombreuses séances sur plusieurs semaines. Le coût, la disponibilité des équipements et la nécessité de centres spécialisés peuvent également limiter son accessibilité.</w:t>
      </w:r>
    </w:p>
    <w:p w14:paraId="38EF1AC7"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Comparativement aux traitements à base de kétamine, la rTMS a généralement une action plus lente, mais peut être privilégiée lorsqu’une option non pharmacologique avec moins d’effets systémiques est recherchée. Le choix dépend notamment de l’urgence clinique, des préférences du patient, du coût, des comorbidités et de la disponibilité locale.</w:t>
      </w:r>
    </w:p>
    <w:p w14:paraId="6E5877E9"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5. Électroconvulsivothérapie (ECT)</w:t>
      </w:r>
    </w:p>
    <w:p w14:paraId="52FD143D"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w:t>
      </w:r>
      <w:r w:rsidRPr="00614472">
        <w:rPr>
          <w:rFonts w:ascii="Times New Roman" w:eastAsia="Times New Roman" w:hAnsi="Times New Roman" w:cs="Times New Roman"/>
          <w:b/>
          <w:bCs/>
          <w:sz w:val="24"/>
          <w:szCs w:val="24"/>
          <w:lang w:eastAsia="fr-FR"/>
        </w:rPr>
        <w:t>ECT</w:t>
      </w:r>
      <w:r w:rsidRPr="00614472">
        <w:rPr>
          <w:rFonts w:ascii="Times New Roman" w:eastAsia="Times New Roman" w:hAnsi="Times New Roman" w:cs="Times New Roman"/>
          <w:sz w:val="24"/>
          <w:szCs w:val="24"/>
          <w:lang w:eastAsia="fr-FR"/>
        </w:rPr>
        <w:t xml:space="preserve"> reste l’une des interventions les plus efficaces dans les dépressions sévères et résistantes. Elle occupe une place centrale dans la DRT, particulièrement en présence de :</w:t>
      </w:r>
    </w:p>
    <w:p w14:paraId="51FE45E5" w14:textId="77777777" w:rsidR="00614472" w:rsidRPr="00614472" w:rsidRDefault="00614472" w:rsidP="0063176F">
      <w:pPr>
        <w:numPr>
          <w:ilvl w:val="0"/>
          <w:numId w:val="28"/>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caractéristiques psychotiques ;</w:t>
      </w:r>
    </w:p>
    <w:p w14:paraId="22CC44F3" w14:textId="77777777" w:rsidR="00614472" w:rsidRPr="00614472" w:rsidRDefault="00614472" w:rsidP="0063176F">
      <w:pPr>
        <w:numPr>
          <w:ilvl w:val="0"/>
          <w:numId w:val="28"/>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catatonie ;</w:t>
      </w:r>
    </w:p>
    <w:p w14:paraId="117DE131" w14:textId="77777777" w:rsidR="00614472" w:rsidRPr="00614472" w:rsidRDefault="00614472" w:rsidP="0063176F">
      <w:pPr>
        <w:numPr>
          <w:ilvl w:val="0"/>
          <w:numId w:val="28"/>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suicidalité importante ;</w:t>
      </w:r>
    </w:p>
    <w:p w14:paraId="2534D025" w14:textId="77777777" w:rsidR="00614472" w:rsidRPr="00614472" w:rsidRDefault="00614472" w:rsidP="0063176F">
      <w:pPr>
        <w:numPr>
          <w:ilvl w:val="0"/>
          <w:numId w:val="28"/>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dégradation fonctionnelle sévère ;</w:t>
      </w:r>
    </w:p>
    <w:p w14:paraId="7621EFE2" w14:textId="77777777" w:rsidR="00614472" w:rsidRPr="00614472" w:rsidRDefault="00614472" w:rsidP="0063176F">
      <w:pPr>
        <w:numPr>
          <w:ilvl w:val="0"/>
          <w:numId w:val="28"/>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échec de plusieurs traitements antérieurs.</w:t>
      </w:r>
    </w:p>
    <w:p w14:paraId="0EFCA625"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Elle présente des taux élevés de réponse et de rémission et conserve une place importante lorsqu’une réponse </w:t>
      </w:r>
      <w:r w:rsidRPr="00614472">
        <w:rPr>
          <w:rFonts w:ascii="Times New Roman" w:eastAsia="Times New Roman" w:hAnsi="Times New Roman" w:cs="Times New Roman"/>
          <w:b/>
          <w:bCs/>
          <w:sz w:val="24"/>
          <w:szCs w:val="24"/>
          <w:lang w:eastAsia="fr-FR"/>
        </w:rPr>
        <w:t>rapide et robuste</w:t>
      </w:r>
      <w:r w:rsidRPr="00614472">
        <w:rPr>
          <w:rFonts w:ascii="Times New Roman" w:eastAsia="Times New Roman" w:hAnsi="Times New Roman" w:cs="Times New Roman"/>
          <w:sz w:val="24"/>
          <w:szCs w:val="24"/>
          <w:lang w:eastAsia="fr-FR"/>
        </w:rPr>
        <w:t xml:space="preserve"> est nécessaire.</w:t>
      </w:r>
    </w:p>
    <w:p w14:paraId="0D7E826E"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Malgré son efficacité, l’ECT reste sous-utilisée. Cette situation est notamment liée à la stigmatisation, aux appréhensions des patients, aux idées reçues concernant sa sécurité et aux inquiétudes concernant les effets cognitifs.</w:t>
      </w:r>
    </w:p>
    <w:p w14:paraId="495E7726"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Les troubles de la mémoire, particulièrement autour de la période du traitement, constituent l’un des principaux obstacles. Ces effets sont souvent transitoires mais doivent être discutés avec le patient.</w:t>
      </w:r>
    </w:p>
    <w:p w14:paraId="480DC7B1"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Les traitements plus récents comme la kétamine ou la rTMS n’ont donc pas remplacé l’ECT : ils ont plutôt élargi les possibilités thérapeutiques disponibles.</w:t>
      </w:r>
    </w:p>
    <w:p w14:paraId="0A421FE6"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6. Stimulation cérébrale profonde (DBS)</w:t>
      </w:r>
    </w:p>
    <w:p w14:paraId="25CE67AA"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w:t>
      </w:r>
      <w:r w:rsidRPr="00614472">
        <w:rPr>
          <w:rFonts w:ascii="Times New Roman" w:eastAsia="Times New Roman" w:hAnsi="Times New Roman" w:cs="Times New Roman"/>
          <w:b/>
          <w:bCs/>
          <w:sz w:val="24"/>
          <w:szCs w:val="24"/>
          <w:lang w:eastAsia="fr-FR"/>
        </w:rPr>
        <w:t>stimulation cérébrale profonde (DBS)</w:t>
      </w:r>
      <w:r w:rsidRPr="00614472">
        <w:rPr>
          <w:rFonts w:ascii="Times New Roman" w:eastAsia="Times New Roman" w:hAnsi="Times New Roman" w:cs="Times New Roman"/>
          <w:sz w:val="24"/>
          <w:szCs w:val="24"/>
          <w:lang w:eastAsia="fr-FR"/>
        </w:rPr>
        <w:t xml:space="preserve"> constitue une approche plus invasive reposant sur l’implantation chirurgicale d’électrodes dans des circuits cérébraux impliqués dans la régulation de l’humeur.</w:t>
      </w:r>
    </w:p>
    <w:p w14:paraId="7A6BA591"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Cette approche s’inscrit dans une conception de la dépression comme un trouble impliquant des réseaux neuronaux dysfonctionnels, plutôt qu’une simple anomalie de la disponibilité des neurotransmetteurs.</w:t>
      </w:r>
    </w:p>
    <w:p w14:paraId="0EBBB074"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Malgré des résultats prometteurs dans certaines études, les résultats restent variables. La DBS demeure principalement limitée à la recherche ou à des centres très spécialisés, notamment en </w:t>
      </w:r>
      <w:r w:rsidRPr="00614472">
        <w:rPr>
          <w:rFonts w:ascii="Times New Roman" w:eastAsia="Times New Roman" w:hAnsi="Times New Roman" w:cs="Times New Roman"/>
          <w:sz w:val="24"/>
          <w:szCs w:val="24"/>
          <w:lang w:eastAsia="fr-FR"/>
        </w:rPr>
        <w:lastRenderedPageBreak/>
        <w:t>raison de l’incertitude concernant les cibles optimales, de la variabilité des résultats et de son caractère invasif.</w:t>
      </w:r>
    </w:p>
    <w:p w14:paraId="5DB9D8DD"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7. Autres techniques de neuromodulation</w:t>
      </w:r>
    </w:p>
    <w:p w14:paraId="3DC17B5D"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Theta Burst Stimulation (TBS)</w:t>
      </w:r>
    </w:p>
    <w:p w14:paraId="42A679E6"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TBS est une forme de stimulation magnétique transcrânienne utilisant des impulsions regroupées en salves rapides. Elle a montré une efficacité </w:t>
      </w:r>
      <w:r w:rsidRPr="00614472">
        <w:rPr>
          <w:rFonts w:ascii="Times New Roman" w:eastAsia="Times New Roman" w:hAnsi="Times New Roman" w:cs="Times New Roman"/>
          <w:b/>
          <w:bCs/>
          <w:sz w:val="24"/>
          <w:szCs w:val="24"/>
          <w:lang w:eastAsia="fr-FR"/>
        </w:rPr>
        <w:t>non inférieure à la rTMS conventionnelle</w:t>
      </w:r>
      <w:r w:rsidRPr="00614472">
        <w:rPr>
          <w:rFonts w:ascii="Times New Roman" w:eastAsia="Times New Roman" w:hAnsi="Times New Roman" w:cs="Times New Roman"/>
          <w:sz w:val="24"/>
          <w:szCs w:val="24"/>
          <w:lang w:eastAsia="fr-FR"/>
        </w:rPr>
        <w:t>, tout en permettant de réduire la durée du traitement.</w:t>
      </w:r>
    </w:p>
    <w:p w14:paraId="079F419A"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Stimulation transcrânienne à courant direct (tDCS)</w:t>
      </w:r>
    </w:p>
    <w:p w14:paraId="03A46AA5"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La tDCS constitue une autre technique non invasive. Les données disponibles montrent cependant des effets plus modestes et moins constants que ceux des techniques mieux établies.</w:t>
      </w:r>
    </w:p>
    <w:p w14:paraId="559BEA2C"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Stimulation du nerf vague (VNS)</w:t>
      </w:r>
    </w:p>
    <w:p w14:paraId="59737698"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La VNS est une technique invasive utilisée chez certains patients présentant une dépression chronique ou résistante. Son utilisation reste limitée en raison de son coût, de son caractère invasif et de son délai d’action thérapeutique relativement long.</w:t>
      </w:r>
    </w:p>
    <w:p w14:paraId="4797927F"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8. Thérapies émergentes</w:t>
      </w:r>
    </w:p>
    <w:p w14:paraId="1CDBEE3A"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De nouvelles approches sont actuellement étudiées dans la DRT, notamment de nouvelles stratégies glutamatergiques et des techniques de neuromodulation plus individualisées.</w:t>
      </w:r>
    </w:p>
    <w:p w14:paraId="3C4EE39D"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Ces développements soulignent l’</w:t>
      </w:r>
      <w:r w:rsidRPr="00614472">
        <w:rPr>
          <w:rFonts w:ascii="Times New Roman" w:eastAsia="Times New Roman" w:hAnsi="Times New Roman" w:cs="Times New Roman"/>
          <w:b/>
          <w:bCs/>
          <w:sz w:val="24"/>
          <w:szCs w:val="24"/>
          <w:lang w:eastAsia="fr-FR"/>
        </w:rPr>
        <w:t>hétérogénéité de la DRT</w:t>
      </w:r>
      <w:r w:rsidRPr="00614472">
        <w:rPr>
          <w:rFonts w:ascii="Times New Roman" w:eastAsia="Times New Roman" w:hAnsi="Times New Roman" w:cs="Times New Roman"/>
          <w:sz w:val="24"/>
          <w:szCs w:val="24"/>
          <w:lang w:eastAsia="fr-FR"/>
        </w:rPr>
        <w:t>, qui peut nécessiter des stratégies thérapeutiques adaptées aux caractéristiques individuelles du patient.</w:t>
      </w:r>
    </w:p>
    <w:p w14:paraId="397ECEE2"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Les traitements psychédéliques assistés, notamment la </w:t>
      </w:r>
      <w:r w:rsidRPr="00614472">
        <w:rPr>
          <w:rFonts w:ascii="Times New Roman" w:eastAsia="Times New Roman" w:hAnsi="Times New Roman" w:cs="Times New Roman"/>
          <w:b/>
          <w:bCs/>
          <w:sz w:val="24"/>
          <w:szCs w:val="24"/>
          <w:lang w:eastAsia="fr-FR"/>
        </w:rPr>
        <w:t>psilocybine</w:t>
      </w:r>
      <w:r w:rsidRPr="00614472">
        <w:rPr>
          <w:rFonts w:ascii="Times New Roman" w:eastAsia="Times New Roman" w:hAnsi="Times New Roman" w:cs="Times New Roman"/>
          <w:sz w:val="24"/>
          <w:szCs w:val="24"/>
          <w:lang w:eastAsia="fr-FR"/>
        </w:rPr>
        <w:t>, suscitent également un intérêt croissant. Des études initiales suggèrent des effets antidépresseurs rapides et prolongés lorsqu’ils sont utilisés dans des conditions contrôlées avec un accompagnement psychologique.</w:t>
      </w:r>
    </w:p>
    <w:p w14:paraId="50D38D91"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Cependant, ces traitements restent </w:t>
      </w:r>
      <w:r w:rsidRPr="00614472">
        <w:rPr>
          <w:rFonts w:ascii="Times New Roman" w:eastAsia="Times New Roman" w:hAnsi="Times New Roman" w:cs="Times New Roman"/>
          <w:b/>
          <w:bCs/>
          <w:sz w:val="24"/>
          <w:szCs w:val="24"/>
          <w:lang w:eastAsia="fr-FR"/>
        </w:rPr>
        <w:t>expérimentaux</w:t>
      </w:r>
      <w:r w:rsidRPr="00614472">
        <w:rPr>
          <w:rFonts w:ascii="Times New Roman" w:eastAsia="Times New Roman" w:hAnsi="Times New Roman" w:cs="Times New Roman"/>
          <w:sz w:val="24"/>
          <w:szCs w:val="24"/>
          <w:lang w:eastAsia="fr-FR"/>
        </w:rPr>
        <w:t xml:space="preserve"> et des recherches supplémentaires sont nécessaires pour déterminer leur sécurité à long terme et leur applicabilité clinique.</w:t>
      </w:r>
    </w:p>
    <w:p w14:paraId="7028DAA4"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9. Séquence thérapeutique et considérations cliniques</w:t>
      </w:r>
    </w:p>
    <w:p w14:paraId="6A58B84B"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prise en charge de la DRT doit être </w:t>
      </w:r>
      <w:r w:rsidRPr="00614472">
        <w:rPr>
          <w:rFonts w:ascii="Times New Roman" w:eastAsia="Times New Roman" w:hAnsi="Times New Roman" w:cs="Times New Roman"/>
          <w:b/>
          <w:bCs/>
          <w:sz w:val="24"/>
          <w:szCs w:val="24"/>
          <w:lang w:eastAsia="fr-FR"/>
        </w:rPr>
        <w:t>individualisée et progressive</w:t>
      </w:r>
      <w:r w:rsidRPr="00614472">
        <w:rPr>
          <w:rFonts w:ascii="Times New Roman" w:eastAsia="Times New Roman" w:hAnsi="Times New Roman" w:cs="Times New Roman"/>
          <w:sz w:val="24"/>
          <w:szCs w:val="24"/>
          <w:lang w:eastAsia="fr-FR"/>
        </w:rPr>
        <w:t>.</w:t>
      </w:r>
    </w:p>
    <w:p w14:paraId="68A2F2AE"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Après l’échec des premiers essais antidépresseurs, les principales options sont :</w:t>
      </w:r>
    </w:p>
    <w:p w14:paraId="4E44EA75"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b/>
          <w:bCs/>
          <w:sz w:val="24"/>
          <w:szCs w:val="24"/>
          <w:lang w:eastAsia="fr-FR"/>
        </w:rPr>
        <w:t>Optimisation de la dose → changement d’antidépresseur → augmentation pharmacologique.</w:t>
      </w:r>
    </w:p>
    <w:p w14:paraId="44E35DE6"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Si ces stratégies sont insuffisantes, des interventions non pharmacologiques telles que la </w:t>
      </w:r>
      <w:r w:rsidRPr="00614472">
        <w:rPr>
          <w:rFonts w:ascii="Times New Roman" w:eastAsia="Times New Roman" w:hAnsi="Times New Roman" w:cs="Times New Roman"/>
          <w:b/>
          <w:bCs/>
          <w:sz w:val="24"/>
          <w:szCs w:val="24"/>
          <w:lang w:eastAsia="fr-FR"/>
        </w:rPr>
        <w:t>rTMS</w:t>
      </w:r>
      <w:r w:rsidRPr="00614472">
        <w:rPr>
          <w:rFonts w:ascii="Times New Roman" w:eastAsia="Times New Roman" w:hAnsi="Times New Roman" w:cs="Times New Roman"/>
          <w:sz w:val="24"/>
          <w:szCs w:val="24"/>
          <w:lang w:eastAsia="fr-FR"/>
        </w:rPr>
        <w:t xml:space="preserve"> ou les traitements à base de </w:t>
      </w:r>
      <w:r w:rsidRPr="00614472">
        <w:rPr>
          <w:rFonts w:ascii="Times New Roman" w:eastAsia="Times New Roman" w:hAnsi="Times New Roman" w:cs="Times New Roman"/>
          <w:b/>
          <w:bCs/>
          <w:sz w:val="24"/>
          <w:szCs w:val="24"/>
          <w:lang w:eastAsia="fr-FR"/>
        </w:rPr>
        <w:t>kétamine</w:t>
      </w:r>
      <w:r w:rsidRPr="00614472">
        <w:rPr>
          <w:rFonts w:ascii="Times New Roman" w:eastAsia="Times New Roman" w:hAnsi="Times New Roman" w:cs="Times New Roman"/>
          <w:sz w:val="24"/>
          <w:szCs w:val="24"/>
          <w:lang w:eastAsia="fr-FR"/>
        </w:rPr>
        <w:t xml:space="preserve"> peuvent être envisagés en fonction de l’urgence clinique, des préférences du patient, de la sécurité et de l’accessibilité.</w:t>
      </w:r>
    </w:p>
    <w:p w14:paraId="619620C3"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w:t>
      </w:r>
      <w:r w:rsidRPr="00614472">
        <w:rPr>
          <w:rFonts w:ascii="Times New Roman" w:eastAsia="Times New Roman" w:hAnsi="Times New Roman" w:cs="Times New Roman"/>
          <w:b/>
          <w:bCs/>
          <w:sz w:val="24"/>
          <w:szCs w:val="24"/>
          <w:lang w:eastAsia="fr-FR"/>
        </w:rPr>
        <w:t>ECT</w:t>
      </w:r>
      <w:r w:rsidRPr="00614472">
        <w:rPr>
          <w:rFonts w:ascii="Times New Roman" w:eastAsia="Times New Roman" w:hAnsi="Times New Roman" w:cs="Times New Roman"/>
          <w:sz w:val="24"/>
          <w:szCs w:val="24"/>
          <w:lang w:eastAsia="fr-FR"/>
        </w:rPr>
        <w:t xml:space="preserve"> conserve une place particulièrement importante dans les formes sévères ou réfractaires, notamment en présence de symptômes psychotiques, d’une altération fonctionnelle sévère ou d’une suicidalité aiguë.</w:t>
      </w:r>
    </w:p>
    <w:p w14:paraId="5773BB5F"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lastRenderedPageBreak/>
        <w:t>Les approches émergentes peuvent être envisagées chez certains patients, mais leur utilisation reste limitée. Les décisions thérapeutiques doivent notamment tenir compte de la sévérité clinique, des réponses antérieures, des comorbidités, du profil de sécurité et de l’accessibilité.</w:t>
      </w:r>
    </w:p>
    <w:p w14:paraId="185048D0" w14:textId="77777777" w:rsidR="00614472" w:rsidRPr="00614472" w:rsidRDefault="00614472" w:rsidP="0063176F">
      <w:pPr>
        <w:spacing w:before="240" w:after="0" w:line="240" w:lineRule="auto"/>
        <w:jc w:val="both"/>
        <w:outlineLvl w:val="1"/>
        <w:rPr>
          <w:rFonts w:ascii="Times New Roman" w:eastAsia="Times New Roman" w:hAnsi="Times New Roman" w:cs="Times New Roman"/>
          <w:b/>
          <w:bCs/>
          <w:sz w:val="24"/>
          <w:szCs w:val="24"/>
          <w:lang w:eastAsia="fr-FR"/>
        </w:rPr>
      </w:pPr>
      <w:r w:rsidRPr="00614472">
        <w:rPr>
          <w:rFonts w:ascii="Times New Roman" w:eastAsia="Times New Roman" w:hAnsi="Times New Roman" w:cs="Times New Roman"/>
          <w:b/>
          <w:bCs/>
          <w:sz w:val="24"/>
          <w:szCs w:val="24"/>
          <w:lang w:eastAsia="fr-FR"/>
        </w:rPr>
        <w:t>10. Conclusion</w:t>
      </w:r>
    </w:p>
    <w:p w14:paraId="5B060085"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dépression résistante au traitement reste un problème clinique majeur nécessitant une prise en charge </w:t>
      </w:r>
      <w:r w:rsidRPr="00614472">
        <w:rPr>
          <w:rFonts w:ascii="Times New Roman" w:eastAsia="Times New Roman" w:hAnsi="Times New Roman" w:cs="Times New Roman"/>
          <w:b/>
          <w:bCs/>
          <w:sz w:val="24"/>
          <w:szCs w:val="24"/>
          <w:lang w:eastAsia="fr-FR"/>
        </w:rPr>
        <w:t>globale et individualisée</w:t>
      </w:r>
      <w:r w:rsidRPr="00614472">
        <w:rPr>
          <w:rFonts w:ascii="Times New Roman" w:eastAsia="Times New Roman" w:hAnsi="Times New Roman" w:cs="Times New Roman"/>
          <w:sz w:val="24"/>
          <w:szCs w:val="24"/>
          <w:lang w:eastAsia="fr-FR"/>
        </w:rPr>
        <w:t>.</w:t>
      </w:r>
    </w:p>
    <w:p w14:paraId="104EC78F" w14:textId="39A7DCF8"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Les stratégies conventionnelles  changement d’antidépresseur, augmentation pharmacologique et psychothérapie restent fondamentales, mais peuvent être insuffisantes chez certains patients.</w:t>
      </w:r>
    </w:p>
    <w:p w14:paraId="394A793D"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kétamine et l’eskétamine ont introduit des traitements à </w:t>
      </w:r>
      <w:r w:rsidRPr="00614472">
        <w:rPr>
          <w:rFonts w:ascii="Times New Roman" w:eastAsia="Times New Roman" w:hAnsi="Times New Roman" w:cs="Times New Roman"/>
          <w:b/>
          <w:bCs/>
          <w:sz w:val="24"/>
          <w:szCs w:val="24"/>
          <w:lang w:eastAsia="fr-FR"/>
        </w:rPr>
        <w:t>action rapide</w:t>
      </w:r>
      <w:r w:rsidRPr="00614472">
        <w:rPr>
          <w:rFonts w:ascii="Times New Roman" w:eastAsia="Times New Roman" w:hAnsi="Times New Roman" w:cs="Times New Roman"/>
          <w:sz w:val="24"/>
          <w:szCs w:val="24"/>
          <w:lang w:eastAsia="fr-FR"/>
        </w:rPr>
        <w:t>, particulièrement pertinents dans certaines situations aiguës ou réfractaires. La rTMS constitue une option de neuromodulation non invasive et généralement bien tolérée. L’ECT reste l’intervention la plus efficace pour les formes sévères et urgentes.</w:t>
      </w:r>
    </w:p>
    <w:p w14:paraId="7919ED27"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D’autres approches, telles que la DBS et les traitements psychédéliques, pourraient élargir les possibilités thérapeutiques futures, mais des données supplémentaires sont nécessaires, notamment concernant leur efficacité et leur sécurité à long terme.</w:t>
      </w:r>
    </w:p>
    <w:p w14:paraId="72ABE2C2" w14:textId="77777777"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sz w:val="24"/>
          <w:szCs w:val="24"/>
          <w:lang w:eastAsia="fr-FR"/>
        </w:rPr>
        <w:t xml:space="preserve">La prise en charge de la DRT évolue donc vers une approche de plus en plus </w:t>
      </w:r>
      <w:r w:rsidRPr="00614472">
        <w:rPr>
          <w:rFonts w:ascii="Times New Roman" w:eastAsia="Times New Roman" w:hAnsi="Times New Roman" w:cs="Times New Roman"/>
          <w:b/>
          <w:bCs/>
          <w:sz w:val="24"/>
          <w:szCs w:val="24"/>
          <w:lang w:eastAsia="fr-FR"/>
        </w:rPr>
        <w:t>individualisée et fondée sur les mécanismes</w:t>
      </w:r>
      <w:r w:rsidRPr="00614472">
        <w:rPr>
          <w:rFonts w:ascii="Times New Roman" w:eastAsia="Times New Roman" w:hAnsi="Times New Roman" w:cs="Times New Roman"/>
          <w:sz w:val="24"/>
          <w:szCs w:val="24"/>
          <w:lang w:eastAsia="fr-FR"/>
        </w:rPr>
        <w:t>, tout en nécessitant encore des recherches pour déterminer la meilleure séquence thérapeutique.</w:t>
      </w:r>
    </w:p>
    <w:p w14:paraId="47271467" w14:textId="715F9665" w:rsidR="00614472" w:rsidRPr="00614472" w:rsidRDefault="00614472" w:rsidP="0063176F">
      <w:pPr>
        <w:spacing w:before="240" w:after="0" w:line="240" w:lineRule="auto"/>
        <w:jc w:val="both"/>
        <w:outlineLvl w:val="1"/>
        <w:rPr>
          <w:rFonts w:ascii="Times New Roman" w:eastAsia="Times New Roman" w:hAnsi="Times New Roman" w:cs="Times New Roman"/>
          <w:sz w:val="24"/>
          <w:szCs w:val="24"/>
          <w:lang w:eastAsia="fr-FR"/>
        </w:rPr>
      </w:pPr>
    </w:p>
    <w:p w14:paraId="41468ADC" w14:textId="1FC95432" w:rsidR="00614472" w:rsidRPr="00614472" w:rsidRDefault="00614472" w:rsidP="0063176F">
      <w:pPr>
        <w:spacing w:before="240" w:after="0" w:line="240" w:lineRule="auto"/>
        <w:jc w:val="center"/>
        <w:outlineLvl w:val="1"/>
        <w:rPr>
          <w:rFonts w:ascii="Times New Roman" w:eastAsia="Times New Roman" w:hAnsi="Times New Roman" w:cs="Times New Roman"/>
          <w:b/>
          <w:bCs/>
          <w:sz w:val="40"/>
          <w:szCs w:val="40"/>
          <w:lang w:eastAsia="fr-FR"/>
        </w:rPr>
      </w:pPr>
      <w:r>
        <w:rPr>
          <w:rFonts w:ascii="Times New Roman" w:eastAsia="Times New Roman" w:hAnsi="Times New Roman" w:cs="Times New Roman"/>
          <w:b/>
          <w:bCs/>
          <w:sz w:val="40"/>
          <w:szCs w:val="40"/>
          <w:lang w:eastAsia="fr-FR"/>
        </w:rPr>
        <w:t>P</w:t>
      </w:r>
      <w:r w:rsidRPr="00614472">
        <w:rPr>
          <w:rFonts w:ascii="Times New Roman" w:eastAsia="Times New Roman" w:hAnsi="Times New Roman" w:cs="Times New Roman"/>
          <w:b/>
          <w:bCs/>
          <w:sz w:val="40"/>
          <w:szCs w:val="40"/>
          <w:lang w:eastAsia="fr-FR"/>
        </w:rPr>
        <w:t>oints essentiels à retenir</w:t>
      </w:r>
    </w:p>
    <w:p w14:paraId="4A49F2C9" w14:textId="77777777" w:rsidR="00614472" w:rsidRPr="00614472" w:rsidRDefault="00614472" w:rsidP="0063176F">
      <w:pPr>
        <w:numPr>
          <w:ilvl w:val="0"/>
          <w:numId w:val="29"/>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b/>
          <w:bCs/>
          <w:sz w:val="24"/>
          <w:szCs w:val="24"/>
          <w:lang w:eastAsia="fr-FR"/>
        </w:rPr>
        <w:t>La DRT est généralement définie par l’absence de rémission après au moins deux essais d’antidépresseurs correctement conduits.</w:t>
      </w:r>
    </w:p>
    <w:p w14:paraId="11F3F332" w14:textId="77777777" w:rsidR="00614472" w:rsidRPr="00614472" w:rsidRDefault="00614472" w:rsidP="0063176F">
      <w:pPr>
        <w:numPr>
          <w:ilvl w:val="0"/>
          <w:numId w:val="29"/>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b/>
          <w:bCs/>
          <w:sz w:val="24"/>
          <w:szCs w:val="24"/>
          <w:lang w:eastAsia="fr-FR"/>
        </w:rPr>
        <w:t>La prise en charge commence par les stratégies conventionnelles</w:t>
      </w:r>
      <w:r w:rsidRPr="00614472">
        <w:rPr>
          <w:rFonts w:ascii="Times New Roman" w:eastAsia="Times New Roman" w:hAnsi="Times New Roman" w:cs="Times New Roman"/>
          <w:sz w:val="24"/>
          <w:szCs w:val="24"/>
          <w:lang w:eastAsia="fr-FR"/>
        </w:rPr>
        <w:t xml:space="preserve"> : optimisation, changement d’antidépresseur et augmentation pharmacologique, avec une place importante de la psychothérapie.</w:t>
      </w:r>
    </w:p>
    <w:p w14:paraId="56C58766" w14:textId="77777777" w:rsidR="00614472" w:rsidRPr="00614472" w:rsidRDefault="00614472" w:rsidP="0063176F">
      <w:pPr>
        <w:numPr>
          <w:ilvl w:val="0"/>
          <w:numId w:val="29"/>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b/>
          <w:bCs/>
          <w:sz w:val="24"/>
          <w:szCs w:val="24"/>
          <w:lang w:eastAsia="fr-FR"/>
        </w:rPr>
        <w:t>La kétamine/eskétamine se distingue par sa rapidité d’action</w:t>
      </w:r>
      <w:r w:rsidRPr="00614472">
        <w:rPr>
          <w:rFonts w:ascii="Times New Roman" w:eastAsia="Times New Roman" w:hAnsi="Times New Roman" w:cs="Times New Roman"/>
          <w:sz w:val="24"/>
          <w:szCs w:val="24"/>
          <w:lang w:eastAsia="fr-FR"/>
        </w:rPr>
        <w:t>, mais son effet peut être transitoire et son utilisation est limitée par le coût, l’accessibilité et certains effets indésirables.</w:t>
      </w:r>
    </w:p>
    <w:p w14:paraId="72E843C5" w14:textId="77777777" w:rsidR="00614472" w:rsidRPr="00614472" w:rsidRDefault="00614472" w:rsidP="0063176F">
      <w:pPr>
        <w:numPr>
          <w:ilvl w:val="0"/>
          <w:numId w:val="29"/>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b/>
          <w:bCs/>
          <w:sz w:val="24"/>
          <w:szCs w:val="24"/>
          <w:lang w:eastAsia="fr-FR"/>
        </w:rPr>
        <w:t>La rTMS est une option non invasive</w:t>
      </w:r>
      <w:r w:rsidRPr="00614472">
        <w:rPr>
          <w:rFonts w:ascii="Times New Roman" w:eastAsia="Times New Roman" w:hAnsi="Times New Roman" w:cs="Times New Roman"/>
          <w:sz w:val="24"/>
          <w:szCs w:val="24"/>
          <w:lang w:eastAsia="fr-FR"/>
        </w:rPr>
        <w:t xml:space="preserve">, tandis que </w:t>
      </w:r>
      <w:r w:rsidRPr="00614472">
        <w:rPr>
          <w:rFonts w:ascii="Times New Roman" w:eastAsia="Times New Roman" w:hAnsi="Times New Roman" w:cs="Times New Roman"/>
          <w:b/>
          <w:bCs/>
          <w:sz w:val="24"/>
          <w:szCs w:val="24"/>
          <w:lang w:eastAsia="fr-FR"/>
        </w:rPr>
        <w:t>l’ECT reste particulièrement importante dans les formes sévères, psychotiques, catatoniques ou avec forte suicidalité.</w:t>
      </w:r>
    </w:p>
    <w:p w14:paraId="537CD619" w14:textId="77777777" w:rsidR="00614472" w:rsidRDefault="00614472" w:rsidP="0063176F">
      <w:pPr>
        <w:numPr>
          <w:ilvl w:val="0"/>
          <w:numId w:val="29"/>
        </w:numPr>
        <w:spacing w:before="240" w:after="0" w:line="240" w:lineRule="auto"/>
        <w:jc w:val="both"/>
        <w:outlineLvl w:val="1"/>
        <w:rPr>
          <w:rFonts w:ascii="Times New Roman" w:eastAsia="Times New Roman" w:hAnsi="Times New Roman" w:cs="Times New Roman"/>
          <w:sz w:val="24"/>
          <w:szCs w:val="24"/>
          <w:lang w:eastAsia="fr-FR"/>
        </w:rPr>
      </w:pPr>
      <w:r w:rsidRPr="00614472">
        <w:rPr>
          <w:rFonts w:ascii="Times New Roman" w:eastAsia="Times New Roman" w:hAnsi="Times New Roman" w:cs="Times New Roman"/>
          <w:b/>
          <w:bCs/>
          <w:sz w:val="24"/>
          <w:szCs w:val="24"/>
          <w:lang w:eastAsia="fr-FR"/>
        </w:rPr>
        <w:t>La stratégie thérapeutique doit être individualisée et progressive</w:t>
      </w:r>
      <w:r w:rsidRPr="00614472">
        <w:rPr>
          <w:rFonts w:ascii="Times New Roman" w:eastAsia="Times New Roman" w:hAnsi="Times New Roman" w:cs="Times New Roman"/>
          <w:sz w:val="24"/>
          <w:szCs w:val="24"/>
          <w:lang w:eastAsia="fr-FR"/>
        </w:rPr>
        <w:t xml:space="preserve"> selon la sévérité, les réponses antérieures, les comorbidités, la sécurité, les préférences et l’accessibilité ; plusieurs traitements émergents restent encore à l’étude.</w:t>
      </w:r>
    </w:p>
    <w:p w14:paraId="1964003B" w14:textId="4582CD47" w:rsidR="0063176F" w:rsidRPr="0063176F" w:rsidRDefault="0063176F" w:rsidP="0063176F">
      <w:pPr>
        <w:spacing w:before="240" w:after="0" w:line="240" w:lineRule="auto"/>
        <w:ind w:left="720"/>
        <w:jc w:val="center"/>
        <w:outlineLvl w:val="1"/>
        <w:rPr>
          <w:rFonts w:ascii="Times New Roman" w:eastAsia="Times New Roman" w:hAnsi="Times New Roman" w:cs="Times New Roman"/>
          <w:b/>
          <w:bCs/>
          <w:sz w:val="24"/>
          <w:szCs w:val="24"/>
          <w:lang w:eastAsia="fr-FR"/>
        </w:rPr>
      </w:pPr>
      <w:r w:rsidRPr="0063176F">
        <w:rPr>
          <w:rFonts w:ascii="Times New Roman" w:eastAsia="Times New Roman" w:hAnsi="Times New Roman" w:cs="Times New Roman"/>
          <w:b/>
          <w:bCs/>
          <w:sz w:val="24"/>
          <w:szCs w:val="24"/>
          <w:lang w:eastAsia="fr-FR"/>
        </w:rPr>
        <w:t>Dr. BELKA Mohamed Achraf</w:t>
      </w:r>
    </w:p>
    <w:p w14:paraId="087828D2" w14:textId="5D5A3412" w:rsidR="0063176F" w:rsidRPr="0063176F" w:rsidRDefault="0063176F" w:rsidP="0063176F">
      <w:pPr>
        <w:spacing w:before="240" w:after="0" w:line="240" w:lineRule="auto"/>
        <w:ind w:left="720"/>
        <w:jc w:val="center"/>
        <w:outlineLvl w:val="1"/>
        <w:rPr>
          <w:rFonts w:ascii="Times New Roman" w:eastAsia="Times New Roman" w:hAnsi="Times New Roman" w:cs="Times New Roman"/>
          <w:b/>
          <w:bCs/>
          <w:sz w:val="24"/>
          <w:szCs w:val="24"/>
          <w:lang w:eastAsia="fr-FR"/>
        </w:rPr>
      </w:pPr>
      <w:r w:rsidRPr="0063176F">
        <w:rPr>
          <w:rFonts w:ascii="Times New Roman" w:eastAsia="Times New Roman" w:hAnsi="Times New Roman" w:cs="Times New Roman"/>
          <w:b/>
          <w:bCs/>
          <w:sz w:val="24"/>
          <w:szCs w:val="24"/>
          <w:lang w:eastAsia="fr-FR"/>
        </w:rPr>
        <w:t>Centre psychiatrique universitaire</w:t>
      </w:r>
    </w:p>
    <w:p w14:paraId="68A79490" w14:textId="688C90BF" w:rsidR="0063176F" w:rsidRPr="0063176F" w:rsidRDefault="0063176F" w:rsidP="0063176F">
      <w:pPr>
        <w:spacing w:before="240" w:after="0" w:line="240" w:lineRule="auto"/>
        <w:ind w:left="720"/>
        <w:jc w:val="center"/>
        <w:outlineLvl w:val="1"/>
        <w:rPr>
          <w:rFonts w:ascii="Times New Roman" w:eastAsia="Times New Roman" w:hAnsi="Times New Roman" w:cs="Times New Roman"/>
          <w:b/>
          <w:bCs/>
          <w:sz w:val="24"/>
          <w:szCs w:val="24"/>
          <w:lang w:eastAsia="fr-FR"/>
        </w:rPr>
      </w:pPr>
      <w:r w:rsidRPr="0063176F">
        <w:rPr>
          <w:rFonts w:ascii="Times New Roman" w:eastAsia="Times New Roman" w:hAnsi="Times New Roman" w:cs="Times New Roman"/>
          <w:b/>
          <w:bCs/>
          <w:sz w:val="24"/>
          <w:szCs w:val="24"/>
          <w:lang w:eastAsia="fr-FR"/>
        </w:rPr>
        <w:t>CHU MOHAMED VI AGADIR</w:t>
      </w:r>
    </w:p>
    <w:p w14:paraId="29FDDA10" w14:textId="77777777" w:rsidR="00667EF5" w:rsidRPr="00614472" w:rsidRDefault="00667EF5" w:rsidP="00614472">
      <w:pPr>
        <w:spacing w:before="240" w:line="360" w:lineRule="auto"/>
        <w:jc w:val="both"/>
        <w:outlineLvl w:val="1"/>
        <w:rPr>
          <w:rFonts w:ascii="Times New Roman" w:eastAsia="Times New Roman" w:hAnsi="Times New Roman" w:cs="Times New Roman"/>
          <w:sz w:val="24"/>
          <w:szCs w:val="24"/>
          <w:lang w:eastAsia="fr-FR"/>
        </w:rPr>
      </w:pPr>
    </w:p>
    <w:sectPr w:rsidR="00667EF5" w:rsidRPr="00614472" w:rsidSect="00FE2127">
      <w:pgSz w:w="11906" w:h="16838"/>
      <w:pgMar w:top="1152" w:right="1152" w:bottom="1152"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1447A7" w14:textId="77777777" w:rsidR="00677CB9" w:rsidRDefault="00677CB9" w:rsidP="008B6C25">
      <w:pPr>
        <w:spacing w:after="0" w:line="240" w:lineRule="auto"/>
      </w:pPr>
      <w:r>
        <w:separator/>
      </w:r>
    </w:p>
  </w:endnote>
  <w:endnote w:type="continuationSeparator" w:id="0">
    <w:p w14:paraId="4527BF19" w14:textId="77777777" w:rsidR="00677CB9" w:rsidRDefault="00677CB9" w:rsidP="008B6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CC783" w14:textId="77777777" w:rsidR="00677CB9" w:rsidRDefault="00677CB9" w:rsidP="008B6C25">
      <w:pPr>
        <w:spacing w:after="0" w:line="240" w:lineRule="auto"/>
      </w:pPr>
      <w:r>
        <w:separator/>
      </w:r>
    </w:p>
  </w:footnote>
  <w:footnote w:type="continuationSeparator" w:id="0">
    <w:p w14:paraId="78033B84" w14:textId="77777777" w:rsidR="00677CB9" w:rsidRDefault="00677CB9" w:rsidP="008B6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AEA"/>
    <w:multiLevelType w:val="multilevel"/>
    <w:tmpl w:val="B474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D51D7"/>
    <w:multiLevelType w:val="multilevel"/>
    <w:tmpl w:val="F02C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24C30"/>
    <w:multiLevelType w:val="multilevel"/>
    <w:tmpl w:val="08AE3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A05C2"/>
    <w:multiLevelType w:val="multilevel"/>
    <w:tmpl w:val="22AA3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B54477"/>
    <w:multiLevelType w:val="multilevel"/>
    <w:tmpl w:val="001467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4821DF"/>
    <w:multiLevelType w:val="multilevel"/>
    <w:tmpl w:val="1A7C5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BF7DF4"/>
    <w:multiLevelType w:val="hybridMultilevel"/>
    <w:tmpl w:val="18A26A3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D987466"/>
    <w:multiLevelType w:val="multilevel"/>
    <w:tmpl w:val="816C9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00055A"/>
    <w:multiLevelType w:val="multilevel"/>
    <w:tmpl w:val="EC146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2108A"/>
    <w:multiLevelType w:val="multilevel"/>
    <w:tmpl w:val="629C5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2C355D"/>
    <w:multiLevelType w:val="multilevel"/>
    <w:tmpl w:val="E0129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1F5028"/>
    <w:multiLevelType w:val="hybridMultilevel"/>
    <w:tmpl w:val="D846AA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8944ADB"/>
    <w:multiLevelType w:val="multilevel"/>
    <w:tmpl w:val="FEE40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2172A6"/>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9C6395"/>
    <w:multiLevelType w:val="multilevel"/>
    <w:tmpl w:val="46800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16276A"/>
    <w:multiLevelType w:val="multilevel"/>
    <w:tmpl w:val="6990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2712C5"/>
    <w:multiLevelType w:val="multilevel"/>
    <w:tmpl w:val="8D4A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3433C5"/>
    <w:multiLevelType w:val="multilevel"/>
    <w:tmpl w:val="9FEEE6C8"/>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DB15275"/>
    <w:multiLevelType w:val="multilevel"/>
    <w:tmpl w:val="21982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153E1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CC1699"/>
    <w:multiLevelType w:val="hybridMultilevel"/>
    <w:tmpl w:val="4C0A8B4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60143248"/>
    <w:multiLevelType w:val="multilevel"/>
    <w:tmpl w:val="6ECA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C117FA"/>
    <w:multiLevelType w:val="multilevel"/>
    <w:tmpl w:val="137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912DA"/>
    <w:multiLevelType w:val="multilevel"/>
    <w:tmpl w:val="B9B26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44015C"/>
    <w:multiLevelType w:val="multilevel"/>
    <w:tmpl w:val="BC524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EC6FDE"/>
    <w:multiLevelType w:val="multilevel"/>
    <w:tmpl w:val="F056A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7595AB0"/>
    <w:multiLevelType w:val="multilevel"/>
    <w:tmpl w:val="A31E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FC6DBE"/>
    <w:multiLevelType w:val="multilevel"/>
    <w:tmpl w:val="E1C4B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D20496"/>
    <w:multiLevelType w:val="multilevel"/>
    <w:tmpl w:val="4C78E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2264784">
    <w:abstractNumId w:val="4"/>
  </w:num>
  <w:num w:numId="2" w16cid:durableId="1583877598">
    <w:abstractNumId w:val="12"/>
  </w:num>
  <w:num w:numId="3" w16cid:durableId="1522353857">
    <w:abstractNumId w:val="2"/>
  </w:num>
  <w:num w:numId="4" w16cid:durableId="1524589157">
    <w:abstractNumId w:val="9"/>
  </w:num>
  <w:num w:numId="5" w16cid:durableId="1042098549">
    <w:abstractNumId w:val="0"/>
  </w:num>
  <w:num w:numId="6" w16cid:durableId="1347714628">
    <w:abstractNumId w:val="21"/>
  </w:num>
  <w:num w:numId="7" w16cid:durableId="1259291721">
    <w:abstractNumId w:val="3"/>
  </w:num>
  <w:num w:numId="8" w16cid:durableId="1438869415">
    <w:abstractNumId w:val="7"/>
  </w:num>
  <w:num w:numId="9" w16cid:durableId="1997029976">
    <w:abstractNumId w:val="28"/>
  </w:num>
  <w:num w:numId="10" w16cid:durableId="93212449">
    <w:abstractNumId w:val="1"/>
  </w:num>
  <w:num w:numId="11" w16cid:durableId="1606693119">
    <w:abstractNumId w:val="16"/>
  </w:num>
  <w:num w:numId="12" w16cid:durableId="1326976161">
    <w:abstractNumId w:val="22"/>
  </w:num>
  <w:num w:numId="13" w16cid:durableId="1881243113">
    <w:abstractNumId w:val="5"/>
  </w:num>
  <w:num w:numId="14" w16cid:durableId="1282103844">
    <w:abstractNumId w:val="23"/>
  </w:num>
  <w:num w:numId="15" w16cid:durableId="2115437964">
    <w:abstractNumId w:val="27"/>
  </w:num>
  <w:num w:numId="16" w16cid:durableId="433289657">
    <w:abstractNumId w:val="10"/>
  </w:num>
  <w:num w:numId="17" w16cid:durableId="1044136144">
    <w:abstractNumId w:val="8"/>
  </w:num>
  <w:num w:numId="18" w16cid:durableId="1245066127">
    <w:abstractNumId w:val="26"/>
  </w:num>
  <w:num w:numId="19" w16cid:durableId="1442185992">
    <w:abstractNumId w:val="11"/>
  </w:num>
  <w:num w:numId="20" w16cid:durableId="1962376491">
    <w:abstractNumId w:val="19"/>
  </w:num>
  <w:num w:numId="21" w16cid:durableId="1074664610">
    <w:abstractNumId w:val="13"/>
  </w:num>
  <w:num w:numId="22" w16cid:durableId="2139453346">
    <w:abstractNumId w:val="6"/>
  </w:num>
  <w:num w:numId="23" w16cid:durableId="1421948465">
    <w:abstractNumId w:val="17"/>
  </w:num>
  <w:num w:numId="24" w16cid:durableId="845636303">
    <w:abstractNumId w:val="20"/>
  </w:num>
  <w:num w:numId="25" w16cid:durableId="1811902674">
    <w:abstractNumId w:val="14"/>
  </w:num>
  <w:num w:numId="26" w16cid:durableId="1225876862">
    <w:abstractNumId w:val="24"/>
  </w:num>
  <w:num w:numId="27" w16cid:durableId="487523068">
    <w:abstractNumId w:val="18"/>
  </w:num>
  <w:num w:numId="28" w16cid:durableId="1553809961">
    <w:abstractNumId w:val="15"/>
  </w:num>
  <w:num w:numId="29" w16cid:durableId="8207746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F0537"/>
    <w:rsid w:val="00020487"/>
    <w:rsid w:val="00140640"/>
    <w:rsid w:val="002C2AC2"/>
    <w:rsid w:val="0030579A"/>
    <w:rsid w:val="00411AF0"/>
    <w:rsid w:val="00412B5B"/>
    <w:rsid w:val="00470D79"/>
    <w:rsid w:val="004A4306"/>
    <w:rsid w:val="005773D7"/>
    <w:rsid w:val="00614472"/>
    <w:rsid w:val="0063176F"/>
    <w:rsid w:val="00667EF5"/>
    <w:rsid w:val="00677CB9"/>
    <w:rsid w:val="006800D9"/>
    <w:rsid w:val="006A50A0"/>
    <w:rsid w:val="007151EB"/>
    <w:rsid w:val="00725EC1"/>
    <w:rsid w:val="00735ECD"/>
    <w:rsid w:val="007C3C8C"/>
    <w:rsid w:val="008B6C25"/>
    <w:rsid w:val="008D5DC5"/>
    <w:rsid w:val="008F0537"/>
    <w:rsid w:val="008F1D9C"/>
    <w:rsid w:val="00920BBA"/>
    <w:rsid w:val="009A5D05"/>
    <w:rsid w:val="009B71FD"/>
    <w:rsid w:val="009C6092"/>
    <w:rsid w:val="00A454DF"/>
    <w:rsid w:val="00A466D3"/>
    <w:rsid w:val="00AD569E"/>
    <w:rsid w:val="00C24898"/>
    <w:rsid w:val="00C45C3D"/>
    <w:rsid w:val="00C67884"/>
    <w:rsid w:val="00D83CC9"/>
    <w:rsid w:val="00E33E5B"/>
    <w:rsid w:val="00EA7BE6"/>
    <w:rsid w:val="00F670BD"/>
    <w:rsid w:val="00F809EF"/>
    <w:rsid w:val="00FE212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5BE9A"/>
  <w15:docId w15:val="{1B963A21-98D9-4F50-B01C-1CA71619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9EF"/>
  </w:style>
  <w:style w:type="paragraph" w:styleId="Titre1">
    <w:name w:val="heading 1"/>
    <w:basedOn w:val="Normal"/>
    <w:link w:val="Titre1Car"/>
    <w:uiPriority w:val="9"/>
    <w:qFormat/>
    <w:rsid w:val="00735EC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725EC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725EC1"/>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D56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D569E"/>
    <w:rPr>
      <w:rFonts w:ascii="Tahoma" w:hAnsi="Tahoma" w:cs="Tahoma"/>
      <w:sz w:val="16"/>
      <w:szCs w:val="16"/>
    </w:rPr>
  </w:style>
  <w:style w:type="character" w:styleId="lev">
    <w:name w:val="Strong"/>
    <w:basedOn w:val="Policepardfaut"/>
    <w:uiPriority w:val="22"/>
    <w:qFormat/>
    <w:rsid w:val="00AD569E"/>
    <w:rPr>
      <w:b/>
      <w:bCs/>
    </w:rPr>
  </w:style>
  <w:style w:type="character" w:styleId="Lienhypertexte">
    <w:name w:val="Hyperlink"/>
    <w:basedOn w:val="Policepardfaut"/>
    <w:uiPriority w:val="99"/>
    <w:semiHidden/>
    <w:unhideWhenUsed/>
    <w:rsid w:val="009A5D05"/>
    <w:rPr>
      <w:color w:val="0000FF"/>
      <w:u w:val="single"/>
    </w:rPr>
  </w:style>
  <w:style w:type="character" w:customStyle="1" w:styleId="Titre1Car">
    <w:name w:val="Titre 1 Car"/>
    <w:basedOn w:val="Policepardfaut"/>
    <w:link w:val="Titre1"/>
    <w:uiPriority w:val="9"/>
    <w:rsid w:val="00735ECD"/>
    <w:rPr>
      <w:rFonts w:ascii="Times New Roman" w:eastAsia="Times New Roman" w:hAnsi="Times New Roman" w:cs="Times New Roman"/>
      <w:b/>
      <w:bCs/>
      <w:kern w:val="36"/>
      <w:sz w:val="48"/>
      <w:szCs w:val="48"/>
      <w:lang w:eastAsia="fr-FR"/>
    </w:rPr>
  </w:style>
  <w:style w:type="character" w:customStyle="1" w:styleId="nlmarticle-title">
    <w:name w:val="nlm_article-title"/>
    <w:basedOn w:val="Policepardfaut"/>
    <w:rsid w:val="00735ECD"/>
  </w:style>
  <w:style w:type="character" w:customStyle="1" w:styleId="contribdegrees">
    <w:name w:val="contribdegrees"/>
    <w:basedOn w:val="Policepardfaut"/>
    <w:rsid w:val="00735ECD"/>
  </w:style>
  <w:style w:type="paragraph" w:styleId="En-tte">
    <w:name w:val="header"/>
    <w:basedOn w:val="Normal"/>
    <w:link w:val="En-tteCar"/>
    <w:uiPriority w:val="99"/>
    <w:semiHidden/>
    <w:unhideWhenUsed/>
    <w:rsid w:val="008B6C25"/>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8B6C25"/>
  </w:style>
  <w:style w:type="paragraph" w:styleId="Pieddepage">
    <w:name w:val="footer"/>
    <w:basedOn w:val="Normal"/>
    <w:link w:val="PieddepageCar"/>
    <w:uiPriority w:val="99"/>
    <w:semiHidden/>
    <w:unhideWhenUsed/>
    <w:rsid w:val="008B6C25"/>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8B6C25"/>
  </w:style>
  <w:style w:type="character" w:customStyle="1" w:styleId="Titre2Car">
    <w:name w:val="Titre 2 Car"/>
    <w:basedOn w:val="Policepardfaut"/>
    <w:link w:val="Titre2"/>
    <w:uiPriority w:val="9"/>
    <w:semiHidden/>
    <w:rsid w:val="00725EC1"/>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725EC1"/>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725E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whitespace-normal">
    <w:name w:val="whitespace-normal"/>
    <w:basedOn w:val="Policepardfaut"/>
    <w:rsid w:val="00725EC1"/>
  </w:style>
  <w:style w:type="character" w:customStyle="1" w:styleId="relative">
    <w:name w:val="relative"/>
    <w:basedOn w:val="Policepardfaut"/>
    <w:rsid w:val="00725EC1"/>
  </w:style>
  <w:style w:type="paragraph" w:customStyle="1" w:styleId="not-prose">
    <w:name w:val="not-prose"/>
    <w:basedOn w:val="Normal"/>
    <w:rsid w:val="00725EC1"/>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725EC1"/>
    <w:rPr>
      <w:i/>
      <w:iCs/>
    </w:rPr>
  </w:style>
  <w:style w:type="paragraph" w:styleId="Paragraphedeliste">
    <w:name w:val="List Paragraph"/>
    <w:basedOn w:val="Normal"/>
    <w:uiPriority w:val="34"/>
    <w:qFormat/>
    <w:rsid w:val="007151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00553">
      <w:bodyDiv w:val="1"/>
      <w:marLeft w:val="0"/>
      <w:marRight w:val="0"/>
      <w:marTop w:val="0"/>
      <w:marBottom w:val="0"/>
      <w:divBdr>
        <w:top w:val="none" w:sz="0" w:space="0" w:color="auto"/>
        <w:left w:val="none" w:sz="0" w:space="0" w:color="auto"/>
        <w:bottom w:val="none" w:sz="0" w:space="0" w:color="auto"/>
        <w:right w:val="none" w:sz="0" w:space="0" w:color="auto"/>
      </w:divBdr>
    </w:div>
    <w:div w:id="190610932">
      <w:bodyDiv w:val="1"/>
      <w:marLeft w:val="0"/>
      <w:marRight w:val="0"/>
      <w:marTop w:val="0"/>
      <w:marBottom w:val="0"/>
      <w:divBdr>
        <w:top w:val="none" w:sz="0" w:space="0" w:color="auto"/>
        <w:left w:val="none" w:sz="0" w:space="0" w:color="auto"/>
        <w:bottom w:val="none" w:sz="0" w:space="0" w:color="auto"/>
        <w:right w:val="none" w:sz="0" w:space="0" w:color="auto"/>
      </w:divBdr>
    </w:div>
    <w:div w:id="199363666">
      <w:bodyDiv w:val="1"/>
      <w:marLeft w:val="0"/>
      <w:marRight w:val="0"/>
      <w:marTop w:val="0"/>
      <w:marBottom w:val="0"/>
      <w:divBdr>
        <w:top w:val="none" w:sz="0" w:space="0" w:color="auto"/>
        <w:left w:val="none" w:sz="0" w:space="0" w:color="auto"/>
        <w:bottom w:val="none" w:sz="0" w:space="0" w:color="auto"/>
        <w:right w:val="none" w:sz="0" w:space="0" w:color="auto"/>
      </w:divBdr>
    </w:div>
    <w:div w:id="225606904">
      <w:bodyDiv w:val="1"/>
      <w:marLeft w:val="0"/>
      <w:marRight w:val="0"/>
      <w:marTop w:val="0"/>
      <w:marBottom w:val="0"/>
      <w:divBdr>
        <w:top w:val="none" w:sz="0" w:space="0" w:color="auto"/>
        <w:left w:val="none" w:sz="0" w:space="0" w:color="auto"/>
        <w:bottom w:val="none" w:sz="0" w:space="0" w:color="auto"/>
        <w:right w:val="none" w:sz="0" w:space="0" w:color="auto"/>
      </w:divBdr>
    </w:div>
    <w:div w:id="322708462">
      <w:bodyDiv w:val="1"/>
      <w:marLeft w:val="0"/>
      <w:marRight w:val="0"/>
      <w:marTop w:val="0"/>
      <w:marBottom w:val="0"/>
      <w:divBdr>
        <w:top w:val="none" w:sz="0" w:space="0" w:color="auto"/>
        <w:left w:val="none" w:sz="0" w:space="0" w:color="auto"/>
        <w:bottom w:val="none" w:sz="0" w:space="0" w:color="auto"/>
        <w:right w:val="none" w:sz="0" w:space="0" w:color="auto"/>
      </w:divBdr>
    </w:div>
    <w:div w:id="332606286">
      <w:bodyDiv w:val="1"/>
      <w:marLeft w:val="0"/>
      <w:marRight w:val="0"/>
      <w:marTop w:val="0"/>
      <w:marBottom w:val="0"/>
      <w:divBdr>
        <w:top w:val="none" w:sz="0" w:space="0" w:color="auto"/>
        <w:left w:val="none" w:sz="0" w:space="0" w:color="auto"/>
        <w:bottom w:val="none" w:sz="0" w:space="0" w:color="auto"/>
        <w:right w:val="none" w:sz="0" w:space="0" w:color="auto"/>
      </w:divBdr>
    </w:div>
    <w:div w:id="370690689">
      <w:bodyDiv w:val="1"/>
      <w:marLeft w:val="0"/>
      <w:marRight w:val="0"/>
      <w:marTop w:val="0"/>
      <w:marBottom w:val="0"/>
      <w:divBdr>
        <w:top w:val="none" w:sz="0" w:space="0" w:color="auto"/>
        <w:left w:val="none" w:sz="0" w:space="0" w:color="auto"/>
        <w:bottom w:val="none" w:sz="0" w:space="0" w:color="auto"/>
        <w:right w:val="none" w:sz="0" w:space="0" w:color="auto"/>
      </w:divBdr>
    </w:div>
    <w:div w:id="428280135">
      <w:bodyDiv w:val="1"/>
      <w:marLeft w:val="0"/>
      <w:marRight w:val="0"/>
      <w:marTop w:val="0"/>
      <w:marBottom w:val="0"/>
      <w:divBdr>
        <w:top w:val="none" w:sz="0" w:space="0" w:color="auto"/>
        <w:left w:val="none" w:sz="0" w:space="0" w:color="auto"/>
        <w:bottom w:val="none" w:sz="0" w:space="0" w:color="auto"/>
        <w:right w:val="none" w:sz="0" w:space="0" w:color="auto"/>
      </w:divBdr>
    </w:div>
    <w:div w:id="453906186">
      <w:bodyDiv w:val="1"/>
      <w:marLeft w:val="0"/>
      <w:marRight w:val="0"/>
      <w:marTop w:val="0"/>
      <w:marBottom w:val="0"/>
      <w:divBdr>
        <w:top w:val="none" w:sz="0" w:space="0" w:color="auto"/>
        <w:left w:val="none" w:sz="0" w:space="0" w:color="auto"/>
        <w:bottom w:val="none" w:sz="0" w:space="0" w:color="auto"/>
        <w:right w:val="none" w:sz="0" w:space="0" w:color="auto"/>
      </w:divBdr>
    </w:div>
    <w:div w:id="626400268">
      <w:bodyDiv w:val="1"/>
      <w:marLeft w:val="0"/>
      <w:marRight w:val="0"/>
      <w:marTop w:val="0"/>
      <w:marBottom w:val="0"/>
      <w:divBdr>
        <w:top w:val="none" w:sz="0" w:space="0" w:color="auto"/>
        <w:left w:val="none" w:sz="0" w:space="0" w:color="auto"/>
        <w:bottom w:val="none" w:sz="0" w:space="0" w:color="auto"/>
        <w:right w:val="none" w:sz="0" w:space="0" w:color="auto"/>
      </w:divBdr>
    </w:div>
    <w:div w:id="732168279">
      <w:bodyDiv w:val="1"/>
      <w:marLeft w:val="0"/>
      <w:marRight w:val="0"/>
      <w:marTop w:val="0"/>
      <w:marBottom w:val="0"/>
      <w:divBdr>
        <w:top w:val="none" w:sz="0" w:space="0" w:color="auto"/>
        <w:left w:val="none" w:sz="0" w:space="0" w:color="auto"/>
        <w:bottom w:val="none" w:sz="0" w:space="0" w:color="auto"/>
        <w:right w:val="none" w:sz="0" w:space="0" w:color="auto"/>
      </w:divBdr>
    </w:div>
    <w:div w:id="769467800">
      <w:bodyDiv w:val="1"/>
      <w:marLeft w:val="0"/>
      <w:marRight w:val="0"/>
      <w:marTop w:val="0"/>
      <w:marBottom w:val="0"/>
      <w:divBdr>
        <w:top w:val="none" w:sz="0" w:space="0" w:color="auto"/>
        <w:left w:val="none" w:sz="0" w:space="0" w:color="auto"/>
        <w:bottom w:val="none" w:sz="0" w:space="0" w:color="auto"/>
        <w:right w:val="none" w:sz="0" w:space="0" w:color="auto"/>
      </w:divBdr>
    </w:div>
    <w:div w:id="802848087">
      <w:bodyDiv w:val="1"/>
      <w:marLeft w:val="0"/>
      <w:marRight w:val="0"/>
      <w:marTop w:val="0"/>
      <w:marBottom w:val="0"/>
      <w:divBdr>
        <w:top w:val="none" w:sz="0" w:space="0" w:color="auto"/>
        <w:left w:val="none" w:sz="0" w:space="0" w:color="auto"/>
        <w:bottom w:val="none" w:sz="0" w:space="0" w:color="auto"/>
        <w:right w:val="none" w:sz="0" w:space="0" w:color="auto"/>
      </w:divBdr>
    </w:div>
    <w:div w:id="834802277">
      <w:bodyDiv w:val="1"/>
      <w:marLeft w:val="0"/>
      <w:marRight w:val="0"/>
      <w:marTop w:val="0"/>
      <w:marBottom w:val="0"/>
      <w:divBdr>
        <w:top w:val="none" w:sz="0" w:space="0" w:color="auto"/>
        <w:left w:val="none" w:sz="0" w:space="0" w:color="auto"/>
        <w:bottom w:val="none" w:sz="0" w:space="0" w:color="auto"/>
        <w:right w:val="none" w:sz="0" w:space="0" w:color="auto"/>
      </w:divBdr>
    </w:div>
    <w:div w:id="843323779">
      <w:bodyDiv w:val="1"/>
      <w:marLeft w:val="0"/>
      <w:marRight w:val="0"/>
      <w:marTop w:val="0"/>
      <w:marBottom w:val="0"/>
      <w:divBdr>
        <w:top w:val="none" w:sz="0" w:space="0" w:color="auto"/>
        <w:left w:val="none" w:sz="0" w:space="0" w:color="auto"/>
        <w:bottom w:val="none" w:sz="0" w:space="0" w:color="auto"/>
        <w:right w:val="none" w:sz="0" w:space="0" w:color="auto"/>
      </w:divBdr>
    </w:div>
    <w:div w:id="1193617097">
      <w:bodyDiv w:val="1"/>
      <w:marLeft w:val="0"/>
      <w:marRight w:val="0"/>
      <w:marTop w:val="0"/>
      <w:marBottom w:val="0"/>
      <w:divBdr>
        <w:top w:val="none" w:sz="0" w:space="0" w:color="auto"/>
        <w:left w:val="none" w:sz="0" w:space="0" w:color="auto"/>
        <w:bottom w:val="none" w:sz="0" w:space="0" w:color="auto"/>
        <w:right w:val="none" w:sz="0" w:space="0" w:color="auto"/>
      </w:divBdr>
      <w:divsChild>
        <w:div w:id="233129243">
          <w:marLeft w:val="0"/>
          <w:marRight w:val="0"/>
          <w:marTop w:val="0"/>
          <w:marBottom w:val="0"/>
          <w:divBdr>
            <w:top w:val="none" w:sz="0" w:space="0" w:color="auto"/>
            <w:left w:val="none" w:sz="0" w:space="0" w:color="auto"/>
            <w:bottom w:val="none" w:sz="0" w:space="0" w:color="auto"/>
            <w:right w:val="none" w:sz="0" w:space="0" w:color="auto"/>
          </w:divBdr>
          <w:divsChild>
            <w:div w:id="1048257322">
              <w:marLeft w:val="0"/>
              <w:marRight w:val="0"/>
              <w:marTop w:val="0"/>
              <w:marBottom w:val="0"/>
              <w:divBdr>
                <w:top w:val="none" w:sz="0" w:space="0" w:color="auto"/>
                <w:left w:val="none" w:sz="0" w:space="0" w:color="auto"/>
                <w:bottom w:val="none" w:sz="0" w:space="0" w:color="auto"/>
                <w:right w:val="none" w:sz="0" w:space="0" w:color="auto"/>
              </w:divBdr>
              <w:divsChild>
                <w:div w:id="1632855695">
                  <w:marLeft w:val="0"/>
                  <w:marRight w:val="0"/>
                  <w:marTop w:val="0"/>
                  <w:marBottom w:val="0"/>
                  <w:divBdr>
                    <w:top w:val="none" w:sz="0" w:space="0" w:color="auto"/>
                    <w:left w:val="none" w:sz="0" w:space="0" w:color="auto"/>
                    <w:bottom w:val="none" w:sz="0" w:space="0" w:color="auto"/>
                    <w:right w:val="none" w:sz="0" w:space="0" w:color="auto"/>
                  </w:divBdr>
                  <w:divsChild>
                    <w:div w:id="1580289445">
                      <w:marLeft w:val="0"/>
                      <w:marRight w:val="0"/>
                      <w:marTop w:val="0"/>
                      <w:marBottom w:val="0"/>
                      <w:divBdr>
                        <w:top w:val="none" w:sz="0" w:space="0" w:color="auto"/>
                        <w:left w:val="none" w:sz="0" w:space="0" w:color="auto"/>
                        <w:bottom w:val="none" w:sz="0" w:space="0" w:color="auto"/>
                        <w:right w:val="none" w:sz="0" w:space="0" w:color="auto"/>
                      </w:divBdr>
                      <w:divsChild>
                        <w:div w:id="1095780713">
                          <w:marLeft w:val="0"/>
                          <w:marRight w:val="0"/>
                          <w:marTop w:val="0"/>
                          <w:marBottom w:val="0"/>
                          <w:divBdr>
                            <w:top w:val="none" w:sz="0" w:space="0" w:color="auto"/>
                            <w:left w:val="none" w:sz="0" w:space="0" w:color="auto"/>
                            <w:bottom w:val="none" w:sz="0" w:space="0" w:color="auto"/>
                            <w:right w:val="none" w:sz="0" w:space="0" w:color="auto"/>
                          </w:divBdr>
                          <w:divsChild>
                            <w:div w:id="41709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571899">
                  <w:marLeft w:val="0"/>
                  <w:marRight w:val="0"/>
                  <w:marTop w:val="0"/>
                  <w:marBottom w:val="0"/>
                  <w:divBdr>
                    <w:top w:val="none" w:sz="0" w:space="0" w:color="auto"/>
                    <w:left w:val="none" w:sz="0" w:space="0" w:color="auto"/>
                    <w:bottom w:val="none" w:sz="0" w:space="0" w:color="auto"/>
                    <w:right w:val="none" w:sz="0" w:space="0" w:color="auto"/>
                  </w:divBdr>
                  <w:divsChild>
                    <w:div w:id="316887129">
                      <w:marLeft w:val="0"/>
                      <w:marRight w:val="0"/>
                      <w:marTop w:val="0"/>
                      <w:marBottom w:val="0"/>
                      <w:divBdr>
                        <w:top w:val="none" w:sz="0" w:space="0" w:color="auto"/>
                        <w:left w:val="none" w:sz="0" w:space="0" w:color="auto"/>
                        <w:bottom w:val="none" w:sz="0" w:space="0" w:color="auto"/>
                        <w:right w:val="none" w:sz="0" w:space="0" w:color="auto"/>
                      </w:divBdr>
                      <w:divsChild>
                        <w:div w:id="5765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469185">
          <w:marLeft w:val="0"/>
          <w:marRight w:val="0"/>
          <w:marTop w:val="0"/>
          <w:marBottom w:val="0"/>
          <w:divBdr>
            <w:top w:val="none" w:sz="0" w:space="0" w:color="auto"/>
            <w:left w:val="none" w:sz="0" w:space="0" w:color="auto"/>
            <w:bottom w:val="none" w:sz="0" w:space="0" w:color="auto"/>
            <w:right w:val="none" w:sz="0" w:space="0" w:color="auto"/>
          </w:divBdr>
          <w:divsChild>
            <w:div w:id="95638336">
              <w:marLeft w:val="0"/>
              <w:marRight w:val="0"/>
              <w:marTop w:val="0"/>
              <w:marBottom w:val="0"/>
              <w:divBdr>
                <w:top w:val="none" w:sz="0" w:space="0" w:color="auto"/>
                <w:left w:val="none" w:sz="0" w:space="0" w:color="auto"/>
                <w:bottom w:val="none" w:sz="0" w:space="0" w:color="auto"/>
                <w:right w:val="none" w:sz="0" w:space="0" w:color="auto"/>
              </w:divBdr>
              <w:divsChild>
                <w:div w:id="250117946">
                  <w:marLeft w:val="0"/>
                  <w:marRight w:val="0"/>
                  <w:marTop w:val="0"/>
                  <w:marBottom w:val="0"/>
                  <w:divBdr>
                    <w:top w:val="none" w:sz="0" w:space="0" w:color="auto"/>
                    <w:left w:val="none" w:sz="0" w:space="0" w:color="auto"/>
                    <w:bottom w:val="none" w:sz="0" w:space="0" w:color="auto"/>
                    <w:right w:val="none" w:sz="0" w:space="0" w:color="auto"/>
                  </w:divBdr>
                  <w:divsChild>
                    <w:div w:id="1789859475">
                      <w:marLeft w:val="0"/>
                      <w:marRight w:val="0"/>
                      <w:marTop w:val="0"/>
                      <w:marBottom w:val="0"/>
                      <w:divBdr>
                        <w:top w:val="none" w:sz="0" w:space="0" w:color="auto"/>
                        <w:left w:val="none" w:sz="0" w:space="0" w:color="auto"/>
                        <w:bottom w:val="none" w:sz="0" w:space="0" w:color="auto"/>
                        <w:right w:val="none" w:sz="0" w:space="0" w:color="auto"/>
                      </w:divBdr>
                      <w:divsChild>
                        <w:div w:id="2082749283">
                          <w:marLeft w:val="0"/>
                          <w:marRight w:val="0"/>
                          <w:marTop w:val="0"/>
                          <w:marBottom w:val="0"/>
                          <w:divBdr>
                            <w:top w:val="none" w:sz="0" w:space="0" w:color="auto"/>
                            <w:left w:val="none" w:sz="0" w:space="0" w:color="auto"/>
                            <w:bottom w:val="none" w:sz="0" w:space="0" w:color="auto"/>
                            <w:right w:val="none" w:sz="0" w:space="0" w:color="auto"/>
                          </w:divBdr>
                          <w:divsChild>
                            <w:div w:id="952787738">
                              <w:marLeft w:val="0"/>
                              <w:marRight w:val="0"/>
                              <w:marTop w:val="0"/>
                              <w:marBottom w:val="0"/>
                              <w:divBdr>
                                <w:top w:val="none" w:sz="0" w:space="0" w:color="auto"/>
                                <w:left w:val="none" w:sz="0" w:space="0" w:color="auto"/>
                                <w:bottom w:val="none" w:sz="0" w:space="0" w:color="auto"/>
                                <w:right w:val="none" w:sz="0" w:space="0" w:color="auto"/>
                              </w:divBdr>
                              <w:divsChild>
                                <w:div w:id="74849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857971">
          <w:marLeft w:val="0"/>
          <w:marRight w:val="0"/>
          <w:marTop w:val="0"/>
          <w:marBottom w:val="0"/>
          <w:divBdr>
            <w:top w:val="none" w:sz="0" w:space="0" w:color="auto"/>
            <w:left w:val="none" w:sz="0" w:space="0" w:color="auto"/>
            <w:bottom w:val="none" w:sz="0" w:space="0" w:color="auto"/>
            <w:right w:val="none" w:sz="0" w:space="0" w:color="auto"/>
          </w:divBdr>
          <w:divsChild>
            <w:div w:id="186913996">
              <w:marLeft w:val="0"/>
              <w:marRight w:val="0"/>
              <w:marTop w:val="0"/>
              <w:marBottom w:val="0"/>
              <w:divBdr>
                <w:top w:val="none" w:sz="0" w:space="0" w:color="auto"/>
                <w:left w:val="none" w:sz="0" w:space="0" w:color="auto"/>
                <w:bottom w:val="none" w:sz="0" w:space="0" w:color="auto"/>
                <w:right w:val="none" w:sz="0" w:space="0" w:color="auto"/>
              </w:divBdr>
              <w:divsChild>
                <w:div w:id="1287274040">
                  <w:marLeft w:val="0"/>
                  <w:marRight w:val="0"/>
                  <w:marTop w:val="0"/>
                  <w:marBottom w:val="0"/>
                  <w:divBdr>
                    <w:top w:val="none" w:sz="0" w:space="0" w:color="auto"/>
                    <w:left w:val="none" w:sz="0" w:space="0" w:color="auto"/>
                    <w:bottom w:val="none" w:sz="0" w:space="0" w:color="auto"/>
                    <w:right w:val="none" w:sz="0" w:space="0" w:color="auto"/>
                  </w:divBdr>
                  <w:divsChild>
                    <w:div w:id="426654206">
                      <w:marLeft w:val="0"/>
                      <w:marRight w:val="0"/>
                      <w:marTop w:val="0"/>
                      <w:marBottom w:val="0"/>
                      <w:divBdr>
                        <w:top w:val="none" w:sz="0" w:space="0" w:color="auto"/>
                        <w:left w:val="none" w:sz="0" w:space="0" w:color="auto"/>
                        <w:bottom w:val="none" w:sz="0" w:space="0" w:color="auto"/>
                        <w:right w:val="none" w:sz="0" w:space="0" w:color="auto"/>
                      </w:divBdr>
                      <w:divsChild>
                        <w:div w:id="856429190">
                          <w:marLeft w:val="0"/>
                          <w:marRight w:val="0"/>
                          <w:marTop w:val="0"/>
                          <w:marBottom w:val="0"/>
                          <w:divBdr>
                            <w:top w:val="none" w:sz="0" w:space="0" w:color="auto"/>
                            <w:left w:val="none" w:sz="0" w:space="0" w:color="auto"/>
                            <w:bottom w:val="none" w:sz="0" w:space="0" w:color="auto"/>
                            <w:right w:val="none" w:sz="0" w:space="0" w:color="auto"/>
                          </w:divBdr>
                          <w:divsChild>
                            <w:div w:id="181148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853126">
      <w:bodyDiv w:val="1"/>
      <w:marLeft w:val="0"/>
      <w:marRight w:val="0"/>
      <w:marTop w:val="0"/>
      <w:marBottom w:val="0"/>
      <w:divBdr>
        <w:top w:val="none" w:sz="0" w:space="0" w:color="auto"/>
        <w:left w:val="none" w:sz="0" w:space="0" w:color="auto"/>
        <w:bottom w:val="none" w:sz="0" w:space="0" w:color="auto"/>
        <w:right w:val="none" w:sz="0" w:space="0" w:color="auto"/>
      </w:divBdr>
    </w:div>
    <w:div w:id="1326933599">
      <w:bodyDiv w:val="1"/>
      <w:marLeft w:val="0"/>
      <w:marRight w:val="0"/>
      <w:marTop w:val="0"/>
      <w:marBottom w:val="0"/>
      <w:divBdr>
        <w:top w:val="none" w:sz="0" w:space="0" w:color="auto"/>
        <w:left w:val="none" w:sz="0" w:space="0" w:color="auto"/>
        <w:bottom w:val="none" w:sz="0" w:space="0" w:color="auto"/>
        <w:right w:val="none" w:sz="0" w:space="0" w:color="auto"/>
      </w:divBdr>
    </w:div>
    <w:div w:id="1349870090">
      <w:bodyDiv w:val="1"/>
      <w:marLeft w:val="0"/>
      <w:marRight w:val="0"/>
      <w:marTop w:val="0"/>
      <w:marBottom w:val="0"/>
      <w:divBdr>
        <w:top w:val="none" w:sz="0" w:space="0" w:color="auto"/>
        <w:left w:val="none" w:sz="0" w:space="0" w:color="auto"/>
        <w:bottom w:val="none" w:sz="0" w:space="0" w:color="auto"/>
        <w:right w:val="none" w:sz="0" w:space="0" w:color="auto"/>
      </w:divBdr>
    </w:div>
    <w:div w:id="1456944875">
      <w:bodyDiv w:val="1"/>
      <w:marLeft w:val="0"/>
      <w:marRight w:val="0"/>
      <w:marTop w:val="0"/>
      <w:marBottom w:val="0"/>
      <w:divBdr>
        <w:top w:val="none" w:sz="0" w:space="0" w:color="auto"/>
        <w:left w:val="none" w:sz="0" w:space="0" w:color="auto"/>
        <w:bottom w:val="none" w:sz="0" w:space="0" w:color="auto"/>
        <w:right w:val="none" w:sz="0" w:space="0" w:color="auto"/>
      </w:divBdr>
    </w:div>
    <w:div w:id="1690064886">
      <w:bodyDiv w:val="1"/>
      <w:marLeft w:val="0"/>
      <w:marRight w:val="0"/>
      <w:marTop w:val="0"/>
      <w:marBottom w:val="0"/>
      <w:divBdr>
        <w:top w:val="none" w:sz="0" w:space="0" w:color="auto"/>
        <w:left w:val="none" w:sz="0" w:space="0" w:color="auto"/>
        <w:bottom w:val="none" w:sz="0" w:space="0" w:color="auto"/>
        <w:right w:val="none" w:sz="0" w:space="0" w:color="auto"/>
      </w:divBdr>
    </w:div>
    <w:div w:id="1863475325">
      <w:bodyDiv w:val="1"/>
      <w:marLeft w:val="0"/>
      <w:marRight w:val="0"/>
      <w:marTop w:val="0"/>
      <w:marBottom w:val="0"/>
      <w:divBdr>
        <w:top w:val="none" w:sz="0" w:space="0" w:color="auto"/>
        <w:left w:val="none" w:sz="0" w:space="0" w:color="auto"/>
        <w:bottom w:val="none" w:sz="0" w:space="0" w:color="auto"/>
        <w:right w:val="none" w:sz="0" w:space="0" w:color="auto"/>
      </w:divBdr>
      <w:divsChild>
        <w:div w:id="1843811488">
          <w:marLeft w:val="0"/>
          <w:marRight w:val="0"/>
          <w:marTop w:val="0"/>
          <w:marBottom w:val="0"/>
          <w:divBdr>
            <w:top w:val="none" w:sz="0" w:space="0" w:color="auto"/>
            <w:left w:val="none" w:sz="0" w:space="0" w:color="auto"/>
            <w:bottom w:val="none" w:sz="0" w:space="0" w:color="auto"/>
            <w:right w:val="none" w:sz="0" w:space="0" w:color="auto"/>
          </w:divBdr>
          <w:divsChild>
            <w:div w:id="1500850599">
              <w:marLeft w:val="0"/>
              <w:marRight w:val="0"/>
              <w:marTop w:val="0"/>
              <w:marBottom w:val="0"/>
              <w:divBdr>
                <w:top w:val="none" w:sz="0" w:space="0" w:color="auto"/>
                <w:left w:val="none" w:sz="0" w:space="0" w:color="auto"/>
                <w:bottom w:val="none" w:sz="0" w:space="0" w:color="auto"/>
                <w:right w:val="none" w:sz="0" w:space="0" w:color="auto"/>
              </w:divBdr>
              <w:divsChild>
                <w:div w:id="529412425">
                  <w:marLeft w:val="0"/>
                  <w:marRight w:val="0"/>
                  <w:marTop w:val="0"/>
                  <w:marBottom w:val="0"/>
                  <w:divBdr>
                    <w:top w:val="none" w:sz="0" w:space="0" w:color="auto"/>
                    <w:left w:val="none" w:sz="0" w:space="0" w:color="auto"/>
                    <w:bottom w:val="none" w:sz="0" w:space="0" w:color="auto"/>
                    <w:right w:val="none" w:sz="0" w:space="0" w:color="auto"/>
                  </w:divBdr>
                  <w:divsChild>
                    <w:div w:id="2104304890">
                      <w:marLeft w:val="0"/>
                      <w:marRight w:val="0"/>
                      <w:marTop w:val="0"/>
                      <w:marBottom w:val="0"/>
                      <w:divBdr>
                        <w:top w:val="none" w:sz="0" w:space="0" w:color="auto"/>
                        <w:left w:val="none" w:sz="0" w:space="0" w:color="auto"/>
                        <w:bottom w:val="none" w:sz="0" w:space="0" w:color="auto"/>
                        <w:right w:val="none" w:sz="0" w:space="0" w:color="auto"/>
                      </w:divBdr>
                      <w:divsChild>
                        <w:div w:id="914558306">
                          <w:marLeft w:val="0"/>
                          <w:marRight w:val="0"/>
                          <w:marTop w:val="0"/>
                          <w:marBottom w:val="0"/>
                          <w:divBdr>
                            <w:top w:val="none" w:sz="0" w:space="0" w:color="auto"/>
                            <w:left w:val="none" w:sz="0" w:space="0" w:color="auto"/>
                            <w:bottom w:val="none" w:sz="0" w:space="0" w:color="auto"/>
                            <w:right w:val="none" w:sz="0" w:space="0" w:color="auto"/>
                          </w:divBdr>
                          <w:divsChild>
                            <w:div w:id="1005982466">
                              <w:marLeft w:val="0"/>
                              <w:marRight w:val="0"/>
                              <w:marTop w:val="0"/>
                              <w:marBottom w:val="0"/>
                              <w:divBdr>
                                <w:top w:val="none" w:sz="0" w:space="0" w:color="auto"/>
                                <w:left w:val="none" w:sz="0" w:space="0" w:color="auto"/>
                                <w:bottom w:val="none" w:sz="0" w:space="0" w:color="auto"/>
                                <w:right w:val="none" w:sz="0" w:space="0" w:color="auto"/>
                              </w:divBdr>
                              <w:divsChild>
                                <w:div w:id="637763297">
                                  <w:marLeft w:val="0"/>
                                  <w:marRight w:val="0"/>
                                  <w:marTop w:val="0"/>
                                  <w:marBottom w:val="0"/>
                                  <w:divBdr>
                                    <w:top w:val="none" w:sz="0" w:space="0" w:color="auto"/>
                                    <w:left w:val="none" w:sz="0" w:space="0" w:color="auto"/>
                                    <w:bottom w:val="none" w:sz="0" w:space="0" w:color="auto"/>
                                    <w:right w:val="none" w:sz="0" w:space="0" w:color="auto"/>
                                  </w:divBdr>
                                </w:div>
                                <w:div w:id="680282409">
                                  <w:marLeft w:val="0"/>
                                  <w:marRight w:val="0"/>
                                  <w:marTop w:val="0"/>
                                  <w:marBottom w:val="0"/>
                                  <w:divBdr>
                                    <w:top w:val="none" w:sz="0" w:space="0" w:color="auto"/>
                                    <w:left w:val="none" w:sz="0" w:space="0" w:color="auto"/>
                                    <w:bottom w:val="none" w:sz="0" w:space="0" w:color="auto"/>
                                    <w:right w:val="none" w:sz="0" w:space="0" w:color="auto"/>
                                  </w:divBdr>
                                </w:div>
                                <w:div w:id="1238710379">
                                  <w:marLeft w:val="0"/>
                                  <w:marRight w:val="0"/>
                                  <w:marTop w:val="0"/>
                                  <w:marBottom w:val="0"/>
                                  <w:divBdr>
                                    <w:top w:val="none" w:sz="0" w:space="0" w:color="auto"/>
                                    <w:left w:val="none" w:sz="0" w:space="0" w:color="auto"/>
                                    <w:bottom w:val="none" w:sz="0" w:space="0" w:color="auto"/>
                                    <w:right w:val="none" w:sz="0" w:space="0" w:color="auto"/>
                                  </w:divBdr>
                                </w:div>
                                <w:div w:id="2074960013">
                                  <w:marLeft w:val="0"/>
                                  <w:marRight w:val="0"/>
                                  <w:marTop w:val="0"/>
                                  <w:marBottom w:val="0"/>
                                  <w:divBdr>
                                    <w:top w:val="none" w:sz="0" w:space="0" w:color="auto"/>
                                    <w:left w:val="none" w:sz="0" w:space="0" w:color="auto"/>
                                    <w:bottom w:val="none" w:sz="0" w:space="0" w:color="auto"/>
                                    <w:right w:val="none" w:sz="0" w:space="0" w:color="auto"/>
                                  </w:divBdr>
                                </w:div>
                                <w:div w:id="378826827">
                                  <w:marLeft w:val="0"/>
                                  <w:marRight w:val="0"/>
                                  <w:marTop w:val="0"/>
                                  <w:marBottom w:val="0"/>
                                  <w:divBdr>
                                    <w:top w:val="none" w:sz="0" w:space="0" w:color="auto"/>
                                    <w:left w:val="none" w:sz="0" w:space="0" w:color="auto"/>
                                    <w:bottom w:val="none" w:sz="0" w:space="0" w:color="auto"/>
                                    <w:right w:val="none" w:sz="0" w:space="0" w:color="auto"/>
                                  </w:divBdr>
                                </w:div>
                                <w:div w:id="29880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3737830">
          <w:marLeft w:val="0"/>
          <w:marRight w:val="0"/>
          <w:marTop w:val="0"/>
          <w:marBottom w:val="0"/>
          <w:divBdr>
            <w:top w:val="none" w:sz="0" w:space="0" w:color="auto"/>
            <w:left w:val="none" w:sz="0" w:space="0" w:color="auto"/>
            <w:bottom w:val="none" w:sz="0" w:space="0" w:color="auto"/>
            <w:right w:val="none" w:sz="0" w:space="0" w:color="auto"/>
          </w:divBdr>
          <w:divsChild>
            <w:div w:id="662971674">
              <w:marLeft w:val="0"/>
              <w:marRight w:val="0"/>
              <w:marTop w:val="0"/>
              <w:marBottom w:val="0"/>
              <w:divBdr>
                <w:top w:val="none" w:sz="0" w:space="0" w:color="auto"/>
                <w:left w:val="none" w:sz="0" w:space="0" w:color="auto"/>
                <w:bottom w:val="none" w:sz="0" w:space="0" w:color="auto"/>
                <w:right w:val="none" w:sz="0" w:space="0" w:color="auto"/>
              </w:divBdr>
              <w:divsChild>
                <w:div w:id="566458127">
                  <w:marLeft w:val="0"/>
                  <w:marRight w:val="0"/>
                  <w:marTop w:val="0"/>
                  <w:marBottom w:val="0"/>
                  <w:divBdr>
                    <w:top w:val="none" w:sz="0" w:space="0" w:color="auto"/>
                    <w:left w:val="none" w:sz="0" w:space="0" w:color="auto"/>
                    <w:bottom w:val="none" w:sz="0" w:space="0" w:color="auto"/>
                    <w:right w:val="none" w:sz="0" w:space="0" w:color="auto"/>
                  </w:divBdr>
                  <w:divsChild>
                    <w:div w:id="1564177307">
                      <w:marLeft w:val="0"/>
                      <w:marRight w:val="0"/>
                      <w:marTop w:val="0"/>
                      <w:marBottom w:val="0"/>
                      <w:divBdr>
                        <w:top w:val="none" w:sz="0" w:space="0" w:color="auto"/>
                        <w:left w:val="none" w:sz="0" w:space="0" w:color="auto"/>
                        <w:bottom w:val="none" w:sz="0" w:space="0" w:color="auto"/>
                        <w:right w:val="none" w:sz="0" w:space="0" w:color="auto"/>
                      </w:divBdr>
                      <w:divsChild>
                        <w:div w:id="303002121">
                          <w:marLeft w:val="0"/>
                          <w:marRight w:val="0"/>
                          <w:marTop w:val="0"/>
                          <w:marBottom w:val="0"/>
                          <w:divBdr>
                            <w:top w:val="none" w:sz="0" w:space="0" w:color="auto"/>
                            <w:left w:val="none" w:sz="0" w:space="0" w:color="auto"/>
                            <w:bottom w:val="none" w:sz="0" w:space="0" w:color="auto"/>
                            <w:right w:val="none" w:sz="0" w:space="0" w:color="auto"/>
                          </w:divBdr>
                          <w:divsChild>
                            <w:div w:id="460079132">
                              <w:marLeft w:val="0"/>
                              <w:marRight w:val="0"/>
                              <w:marTop w:val="0"/>
                              <w:marBottom w:val="0"/>
                              <w:divBdr>
                                <w:top w:val="none" w:sz="0" w:space="0" w:color="auto"/>
                                <w:left w:val="none" w:sz="0" w:space="0" w:color="auto"/>
                                <w:bottom w:val="none" w:sz="0" w:space="0" w:color="auto"/>
                                <w:right w:val="none" w:sz="0" w:space="0" w:color="auto"/>
                              </w:divBdr>
                              <w:divsChild>
                                <w:div w:id="1705062514">
                                  <w:marLeft w:val="0"/>
                                  <w:marRight w:val="0"/>
                                  <w:marTop w:val="0"/>
                                  <w:marBottom w:val="0"/>
                                  <w:divBdr>
                                    <w:top w:val="none" w:sz="0" w:space="0" w:color="auto"/>
                                    <w:left w:val="none" w:sz="0" w:space="0" w:color="auto"/>
                                    <w:bottom w:val="none" w:sz="0" w:space="0" w:color="auto"/>
                                    <w:right w:val="none" w:sz="0" w:space="0" w:color="auto"/>
                                  </w:divBdr>
                                  <w:divsChild>
                                    <w:div w:id="1318194883">
                                      <w:marLeft w:val="0"/>
                                      <w:marRight w:val="0"/>
                                      <w:marTop w:val="0"/>
                                      <w:marBottom w:val="0"/>
                                      <w:divBdr>
                                        <w:top w:val="none" w:sz="0" w:space="0" w:color="auto"/>
                                        <w:left w:val="none" w:sz="0" w:space="0" w:color="auto"/>
                                        <w:bottom w:val="none" w:sz="0" w:space="0" w:color="auto"/>
                                        <w:right w:val="none" w:sz="0" w:space="0" w:color="auto"/>
                                      </w:divBdr>
                                      <w:divsChild>
                                        <w:div w:id="2120568286">
                                          <w:marLeft w:val="0"/>
                                          <w:marRight w:val="0"/>
                                          <w:marTop w:val="0"/>
                                          <w:marBottom w:val="0"/>
                                          <w:divBdr>
                                            <w:top w:val="none" w:sz="0" w:space="0" w:color="auto"/>
                                            <w:left w:val="none" w:sz="0" w:space="0" w:color="auto"/>
                                            <w:bottom w:val="none" w:sz="0" w:space="0" w:color="auto"/>
                                            <w:right w:val="none" w:sz="0" w:space="0" w:color="auto"/>
                                          </w:divBdr>
                                          <w:divsChild>
                                            <w:div w:id="591864834">
                                              <w:marLeft w:val="0"/>
                                              <w:marRight w:val="0"/>
                                              <w:marTop w:val="0"/>
                                              <w:marBottom w:val="0"/>
                                              <w:divBdr>
                                                <w:top w:val="none" w:sz="0" w:space="0" w:color="auto"/>
                                                <w:left w:val="none" w:sz="0" w:space="0" w:color="auto"/>
                                                <w:bottom w:val="none" w:sz="0" w:space="0" w:color="auto"/>
                                                <w:right w:val="none" w:sz="0" w:space="0" w:color="auto"/>
                                              </w:divBdr>
                                              <w:divsChild>
                                                <w:div w:id="57786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5915029">
      <w:bodyDiv w:val="1"/>
      <w:marLeft w:val="0"/>
      <w:marRight w:val="0"/>
      <w:marTop w:val="0"/>
      <w:marBottom w:val="0"/>
      <w:divBdr>
        <w:top w:val="none" w:sz="0" w:space="0" w:color="auto"/>
        <w:left w:val="none" w:sz="0" w:space="0" w:color="auto"/>
        <w:bottom w:val="none" w:sz="0" w:space="0" w:color="auto"/>
        <w:right w:val="none" w:sz="0" w:space="0" w:color="auto"/>
      </w:divBdr>
      <w:divsChild>
        <w:div w:id="319621035">
          <w:marLeft w:val="0"/>
          <w:marRight w:val="0"/>
          <w:marTop w:val="0"/>
          <w:marBottom w:val="0"/>
          <w:divBdr>
            <w:top w:val="none" w:sz="0" w:space="0" w:color="auto"/>
            <w:left w:val="none" w:sz="0" w:space="0" w:color="auto"/>
            <w:bottom w:val="none" w:sz="0" w:space="0" w:color="auto"/>
            <w:right w:val="none" w:sz="0" w:space="0" w:color="auto"/>
          </w:divBdr>
          <w:divsChild>
            <w:div w:id="1786970916">
              <w:marLeft w:val="0"/>
              <w:marRight w:val="0"/>
              <w:marTop w:val="0"/>
              <w:marBottom w:val="0"/>
              <w:divBdr>
                <w:top w:val="none" w:sz="0" w:space="0" w:color="auto"/>
                <w:left w:val="none" w:sz="0" w:space="0" w:color="auto"/>
                <w:bottom w:val="none" w:sz="0" w:space="0" w:color="auto"/>
                <w:right w:val="none" w:sz="0" w:space="0" w:color="auto"/>
              </w:divBdr>
              <w:divsChild>
                <w:div w:id="264384558">
                  <w:marLeft w:val="0"/>
                  <w:marRight w:val="0"/>
                  <w:marTop w:val="0"/>
                  <w:marBottom w:val="0"/>
                  <w:divBdr>
                    <w:top w:val="none" w:sz="0" w:space="0" w:color="auto"/>
                    <w:left w:val="none" w:sz="0" w:space="0" w:color="auto"/>
                    <w:bottom w:val="none" w:sz="0" w:space="0" w:color="auto"/>
                    <w:right w:val="none" w:sz="0" w:space="0" w:color="auto"/>
                  </w:divBdr>
                  <w:divsChild>
                    <w:div w:id="170488370">
                      <w:marLeft w:val="0"/>
                      <w:marRight w:val="0"/>
                      <w:marTop w:val="0"/>
                      <w:marBottom w:val="0"/>
                      <w:divBdr>
                        <w:top w:val="none" w:sz="0" w:space="0" w:color="auto"/>
                        <w:left w:val="none" w:sz="0" w:space="0" w:color="auto"/>
                        <w:bottom w:val="none" w:sz="0" w:space="0" w:color="auto"/>
                        <w:right w:val="none" w:sz="0" w:space="0" w:color="auto"/>
                      </w:divBdr>
                      <w:divsChild>
                        <w:div w:id="847870755">
                          <w:marLeft w:val="0"/>
                          <w:marRight w:val="0"/>
                          <w:marTop w:val="0"/>
                          <w:marBottom w:val="0"/>
                          <w:divBdr>
                            <w:top w:val="none" w:sz="0" w:space="0" w:color="auto"/>
                            <w:left w:val="none" w:sz="0" w:space="0" w:color="auto"/>
                            <w:bottom w:val="none" w:sz="0" w:space="0" w:color="auto"/>
                            <w:right w:val="none" w:sz="0" w:space="0" w:color="auto"/>
                          </w:divBdr>
                          <w:divsChild>
                            <w:div w:id="1309630082">
                              <w:marLeft w:val="0"/>
                              <w:marRight w:val="0"/>
                              <w:marTop w:val="0"/>
                              <w:marBottom w:val="0"/>
                              <w:divBdr>
                                <w:top w:val="none" w:sz="0" w:space="0" w:color="auto"/>
                                <w:left w:val="none" w:sz="0" w:space="0" w:color="auto"/>
                                <w:bottom w:val="none" w:sz="0" w:space="0" w:color="auto"/>
                                <w:right w:val="none" w:sz="0" w:space="0" w:color="auto"/>
                              </w:divBdr>
                              <w:divsChild>
                                <w:div w:id="1683362150">
                                  <w:marLeft w:val="0"/>
                                  <w:marRight w:val="0"/>
                                  <w:marTop w:val="0"/>
                                  <w:marBottom w:val="0"/>
                                  <w:divBdr>
                                    <w:top w:val="none" w:sz="0" w:space="0" w:color="auto"/>
                                    <w:left w:val="none" w:sz="0" w:space="0" w:color="auto"/>
                                    <w:bottom w:val="none" w:sz="0" w:space="0" w:color="auto"/>
                                    <w:right w:val="none" w:sz="0" w:space="0" w:color="auto"/>
                                  </w:divBdr>
                                </w:div>
                                <w:div w:id="81069903">
                                  <w:marLeft w:val="0"/>
                                  <w:marRight w:val="0"/>
                                  <w:marTop w:val="0"/>
                                  <w:marBottom w:val="0"/>
                                  <w:divBdr>
                                    <w:top w:val="none" w:sz="0" w:space="0" w:color="auto"/>
                                    <w:left w:val="none" w:sz="0" w:space="0" w:color="auto"/>
                                    <w:bottom w:val="none" w:sz="0" w:space="0" w:color="auto"/>
                                    <w:right w:val="none" w:sz="0" w:space="0" w:color="auto"/>
                                  </w:divBdr>
                                </w:div>
                                <w:div w:id="2003239855">
                                  <w:marLeft w:val="0"/>
                                  <w:marRight w:val="0"/>
                                  <w:marTop w:val="0"/>
                                  <w:marBottom w:val="0"/>
                                  <w:divBdr>
                                    <w:top w:val="none" w:sz="0" w:space="0" w:color="auto"/>
                                    <w:left w:val="none" w:sz="0" w:space="0" w:color="auto"/>
                                    <w:bottom w:val="none" w:sz="0" w:space="0" w:color="auto"/>
                                    <w:right w:val="none" w:sz="0" w:space="0" w:color="auto"/>
                                  </w:divBdr>
                                </w:div>
                                <w:div w:id="1291669141">
                                  <w:marLeft w:val="0"/>
                                  <w:marRight w:val="0"/>
                                  <w:marTop w:val="0"/>
                                  <w:marBottom w:val="0"/>
                                  <w:divBdr>
                                    <w:top w:val="none" w:sz="0" w:space="0" w:color="auto"/>
                                    <w:left w:val="none" w:sz="0" w:space="0" w:color="auto"/>
                                    <w:bottom w:val="none" w:sz="0" w:space="0" w:color="auto"/>
                                    <w:right w:val="none" w:sz="0" w:space="0" w:color="auto"/>
                                  </w:divBdr>
                                </w:div>
                                <w:div w:id="1509101616">
                                  <w:marLeft w:val="0"/>
                                  <w:marRight w:val="0"/>
                                  <w:marTop w:val="0"/>
                                  <w:marBottom w:val="0"/>
                                  <w:divBdr>
                                    <w:top w:val="none" w:sz="0" w:space="0" w:color="auto"/>
                                    <w:left w:val="none" w:sz="0" w:space="0" w:color="auto"/>
                                    <w:bottom w:val="none" w:sz="0" w:space="0" w:color="auto"/>
                                    <w:right w:val="none" w:sz="0" w:space="0" w:color="auto"/>
                                  </w:divBdr>
                                </w:div>
                                <w:div w:id="36379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18844">
          <w:marLeft w:val="0"/>
          <w:marRight w:val="0"/>
          <w:marTop w:val="0"/>
          <w:marBottom w:val="0"/>
          <w:divBdr>
            <w:top w:val="none" w:sz="0" w:space="0" w:color="auto"/>
            <w:left w:val="none" w:sz="0" w:space="0" w:color="auto"/>
            <w:bottom w:val="none" w:sz="0" w:space="0" w:color="auto"/>
            <w:right w:val="none" w:sz="0" w:space="0" w:color="auto"/>
          </w:divBdr>
          <w:divsChild>
            <w:div w:id="1965378440">
              <w:marLeft w:val="0"/>
              <w:marRight w:val="0"/>
              <w:marTop w:val="0"/>
              <w:marBottom w:val="0"/>
              <w:divBdr>
                <w:top w:val="none" w:sz="0" w:space="0" w:color="auto"/>
                <w:left w:val="none" w:sz="0" w:space="0" w:color="auto"/>
                <w:bottom w:val="none" w:sz="0" w:space="0" w:color="auto"/>
                <w:right w:val="none" w:sz="0" w:space="0" w:color="auto"/>
              </w:divBdr>
              <w:divsChild>
                <w:div w:id="1494449571">
                  <w:marLeft w:val="0"/>
                  <w:marRight w:val="0"/>
                  <w:marTop w:val="0"/>
                  <w:marBottom w:val="0"/>
                  <w:divBdr>
                    <w:top w:val="none" w:sz="0" w:space="0" w:color="auto"/>
                    <w:left w:val="none" w:sz="0" w:space="0" w:color="auto"/>
                    <w:bottom w:val="none" w:sz="0" w:space="0" w:color="auto"/>
                    <w:right w:val="none" w:sz="0" w:space="0" w:color="auto"/>
                  </w:divBdr>
                  <w:divsChild>
                    <w:div w:id="756486201">
                      <w:marLeft w:val="0"/>
                      <w:marRight w:val="0"/>
                      <w:marTop w:val="0"/>
                      <w:marBottom w:val="0"/>
                      <w:divBdr>
                        <w:top w:val="none" w:sz="0" w:space="0" w:color="auto"/>
                        <w:left w:val="none" w:sz="0" w:space="0" w:color="auto"/>
                        <w:bottom w:val="none" w:sz="0" w:space="0" w:color="auto"/>
                        <w:right w:val="none" w:sz="0" w:space="0" w:color="auto"/>
                      </w:divBdr>
                      <w:divsChild>
                        <w:div w:id="731998460">
                          <w:marLeft w:val="0"/>
                          <w:marRight w:val="0"/>
                          <w:marTop w:val="0"/>
                          <w:marBottom w:val="0"/>
                          <w:divBdr>
                            <w:top w:val="none" w:sz="0" w:space="0" w:color="auto"/>
                            <w:left w:val="none" w:sz="0" w:space="0" w:color="auto"/>
                            <w:bottom w:val="none" w:sz="0" w:space="0" w:color="auto"/>
                            <w:right w:val="none" w:sz="0" w:space="0" w:color="auto"/>
                          </w:divBdr>
                          <w:divsChild>
                            <w:div w:id="1018190929">
                              <w:marLeft w:val="0"/>
                              <w:marRight w:val="0"/>
                              <w:marTop w:val="0"/>
                              <w:marBottom w:val="0"/>
                              <w:divBdr>
                                <w:top w:val="none" w:sz="0" w:space="0" w:color="auto"/>
                                <w:left w:val="none" w:sz="0" w:space="0" w:color="auto"/>
                                <w:bottom w:val="none" w:sz="0" w:space="0" w:color="auto"/>
                                <w:right w:val="none" w:sz="0" w:space="0" w:color="auto"/>
                              </w:divBdr>
                              <w:divsChild>
                                <w:div w:id="603880445">
                                  <w:marLeft w:val="0"/>
                                  <w:marRight w:val="0"/>
                                  <w:marTop w:val="0"/>
                                  <w:marBottom w:val="0"/>
                                  <w:divBdr>
                                    <w:top w:val="none" w:sz="0" w:space="0" w:color="auto"/>
                                    <w:left w:val="none" w:sz="0" w:space="0" w:color="auto"/>
                                    <w:bottom w:val="none" w:sz="0" w:space="0" w:color="auto"/>
                                    <w:right w:val="none" w:sz="0" w:space="0" w:color="auto"/>
                                  </w:divBdr>
                                  <w:divsChild>
                                    <w:div w:id="454251370">
                                      <w:marLeft w:val="0"/>
                                      <w:marRight w:val="0"/>
                                      <w:marTop w:val="0"/>
                                      <w:marBottom w:val="0"/>
                                      <w:divBdr>
                                        <w:top w:val="none" w:sz="0" w:space="0" w:color="auto"/>
                                        <w:left w:val="none" w:sz="0" w:space="0" w:color="auto"/>
                                        <w:bottom w:val="none" w:sz="0" w:space="0" w:color="auto"/>
                                        <w:right w:val="none" w:sz="0" w:space="0" w:color="auto"/>
                                      </w:divBdr>
                                      <w:divsChild>
                                        <w:div w:id="778455469">
                                          <w:marLeft w:val="0"/>
                                          <w:marRight w:val="0"/>
                                          <w:marTop w:val="0"/>
                                          <w:marBottom w:val="0"/>
                                          <w:divBdr>
                                            <w:top w:val="none" w:sz="0" w:space="0" w:color="auto"/>
                                            <w:left w:val="none" w:sz="0" w:space="0" w:color="auto"/>
                                            <w:bottom w:val="none" w:sz="0" w:space="0" w:color="auto"/>
                                            <w:right w:val="none" w:sz="0" w:space="0" w:color="auto"/>
                                          </w:divBdr>
                                          <w:divsChild>
                                            <w:div w:id="2013875563">
                                              <w:marLeft w:val="0"/>
                                              <w:marRight w:val="0"/>
                                              <w:marTop w:val="0"/>
                                              <w:marBottom w:val="0"/>
                                              <w:divBdr>
                                                <w:top w:val="none" w:sz="0" w:space="0" w:color="auto"/>
                                                <w:left w:val="none" w:sz="0" w:space="0" w:color="auto"/>
                                                <w:bottom w:val="none" w:sz="0" w:space="0" w:color="auto"/>
                                                <w:right w:val="none" w:sz="0" w:space="0" w:color="auto"/>
                                              </w:divBdr>
                                              <w:divsChild>
                                                <w:div w:id="583227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8116316">
      <w:bodyDiv w:val="1"/>
      <w:marLeft w:val="0"/>
      <w:marRight w:val="0"/>
      <w:marTop w:val="0"/>
      <w:marBottom w:val="0"/>
      <w:divBdr>
        <w:top w:val="none" w:sz="0" w:space="0" w:color="auto"/>
        <w:left w:val="none" w:sz="0" w:space="0" w:color="auto"/>
        <w:bottom w:val="none" w:sz="0" w:space="0" w:color="auto"/>
        <w:right w:val="none" w:sz="0" w:space="0" w:color="auto"/>
      </w:divBdr>
      <w:divsChild>
        <w:div w:id="443887771">
          <w:marLeft w:val="0"/>
          <w:marRight w:val="0"/>
          <w:marTop w:val="0"/>
          <w:marBottom w:val="0"/>
          <w:divBdr>
            <w:top w:val="none" w:sz="0" w:space="0" w:color="auto"/>
            <w:left w:val="none" w:sz="0" w:space="0" w:color="auto"/>
            <w:bottom w:val="none" w:sz="0" w:space="0" w:color="auto"/>
            <w:right w:val="none" w:sz="0" w:space="0" w:color="auto"/>
          </w:divBdr>
          <w:divsChild>
            <w:div w:id="930115836">
              <w:marLeft w:val="0"/>
              <w:marRight w:val="0"/>
              <w:marTop w:val="0"/>
              <w:marBottom w:val="0"/>
              <w:divBdr>
                <w:top w:val="none" w:sz="0" w:space="0" w:color="auto"/>
                <w:left w:val="none" w:sz="0" w:space="0" w:color="auto"/>
                <w:bottom w:val="none" w:sz="0" w:space="0" w:color="auto"/>
                <w:right w:val="none" w:sz="0" w:space="0" w:color="auto"/>
              </w:divBdr>
              <w:divsChild>
                <w:div w:id="207962618">
                  <w:marLeft w:val="0"/>
                  <w:marRight w:val="0"/>
                  <w:marTop w:val="0"/>
                  <w:marBottom w:val="0"/>
                  <w:divBdr>
                    <w:top w:val="none" w:sz="0" w:space="0" w:color="auto"/>
                    <w:left w:val="none" w:sz="0" w:space="0" w:color="auto"/>
                    <w:bottom w:val="none" w:sz="0" w:space="0" w:color="auto"/>
                    <w:right w:val="none" w:sz="0" w:space="0" w:color="auto"/>
                  </w:divBdr>
                  <w:divsChild>
                    <w:div w:id="653535008">
                      <w:marLeft w:val="0"/>
                      <w:marRight w:val="0"/>
                      <w:marTop w:val="0"/>
                      <w:marBottom w:val="0"/>
                      <w:divBdr>
                        <w:top w:val="none" w:sz="0" w:space="0" w:color="auto"/>
                        <w:left w:val="none" w:sz="0" w:space="0" w:color="auto"/>
                        <w:bottom w:val="none" w:sz="0" w:space="0" w:color="auto"/>
                        <w:right w:val="none" w:sz="0" w:space="0" w:color="auto"/>
                      </w:divBdr>
                      <w:divsChild>
                        <w:div w:id="445858028">
                          <w:marLeft w:val="0"/>
                          <w:marRight w:val="0"/>
                          <w:marTop w:val="0"/>
                          <w:marBottom w:val="0"/>
                          <w:divBdr>
                            <w:top w:val="none" w:sz="0" w:space="0" w:color="auto"/>
                            <w:left w:val="none" w:sz="0" w:space="0" w:color="auto"/>
                            <w:bottom w:val="none" w:sz="0" w:space="0" w:color="auto"/>
                            <w:right w:val="none" w:sz="0" w:space="0" w:color="auto"/>
                          </w:divBdr>
                          <w:divsChild>
                            <w:div w:id="1147933591">
                              <w:marLeft w:val="0"/>
                              <w:marRight w:val="0"/>
                              <w:marTop w:val="0"/>
                              <w:marBottom w:val="0"/>
                              <w:divBdr>
                                <w:top w:val="none" w:sz="0" w:space="0" w:color="auto"/>
                                <w:left w:val="none" w:sz="0" w:space="0" w:color="auto"/>
                                <w:bottom w:val="none" w:sz="0" w:space="0" w:color="auto"/>
                                <w:right w:val="none" w:sz="0" w:space="0" w:color="auto"/>
                              </w:divBdr>
                              <w:divsChild>
                                <w:div w:id="223874347">
                                  <w:marLeft w:val="0"/>
                                  <w:marRight w:val="0"/>
                                  <w:marTop w:val="0"/>
                                  <w:marBottom w:val="0"/>
                                  <w:divBdr>
                                    <w:top w:val="none" w:sz="0" w:space="0" w:color="auto"/>
                                    <w:left w:val="none" w:sz="0" w:space="0" w:color="auto"/>
                                    <w:bottom w:val="none" w:sz="0" w:space="0" w:color="auto"/>
                                    <w:right w:val="none" w:sz="0" w:space="0" w:color="auto"/>
                                  </w:divBdr>
                                </w:div>
                                <w:div w:id="918952398">
                                  <w:marLeft w:val="0"/>
                                  <w:marRight w:val="0"/>
                                  <w:marTop w:val="0"/>
                                  <w:marBottom w:val="0"/>
                                  <w:divBdr>
                                    <w:top w:val="none" w:sz="0" w:space="0" w:color="auto"/>
                                    <w:left w:val="none" w:sz="0" w:space="0" w:color="auto"/>
                                    <w:bottom w:val="none" w:sz="0" w:space="0" w:color="auto"/>
                                    <w:right w:val="none" w:sz="0" w:space="0" w:color="auto"/>
                                  </w:divBdr>
                                </w:div>
                                <w:div w:id="45377389">
                                  <w:marLeft w:val="0"/>
                                  <w:marRight w:val="0"/>
                                  <w:marTop w:val="0"/>
                                  <w:marBottom w:val="0"/>
                                  <w:divBdr>
                                    <w:top w:val="none" w:sz="0" w:space="0" w:color="auto"/>
                                    <w:left w:val="none" w:sz="0" w:space="0" w:color="auto"/>
                                    <w:bottom w:val="none" w:sz="0" w:space="0" w:color="auto"/>
                                    <w:right w:val="none" w:sz="0" w:space="0" w:color="auto"/>
                                  </w:divBdr>
                                </w:div>
                                <w:div w:id="1613659939">
                                  <w:marLeft w:val="0"/>
                                  <w:marRight w:val="0"/>
                                  <w:marTop w:val="0"/>
                                  <w:marBottom w:val="0"/>
                                  <w:divBdr>
                                    <w:top w:val="none" w:sz="0" w:space="0" w:color="auto"/>
                                    <w:left w:val="none" w:sz="0" w:space="0" w:color="auto"/>
                                    <w:bottom w:val="none" w:sz="0" w:space="0" w:color="auto"/>
                                    <w:right w:val="none" w:sz="0" w:space="0" w:color="auto"/>
                                  </w:divBdr>
                                </w:div>
                                <w:div w:id="33623045">
                                  <w:marLeft w:val="0"/>
                                  <w:marRight w:val="0"/>
                                  <w:marTop w:val="0"/>
                                  <w:marBottom w:val="0"/>
                                  <w:divBdr>
                                    <w:top w:val="none" w:sz="0" w:space="0" w:color="auto"/>
                                    <w:left w:val="none" w:sz="0" w:space="0" w:color="auto"/>
                                    <w:bottom w:val="none" w:sz="0" w:space="0" w:color="auto"/>
                                    <w:right w:val="none" w:sz="0" w:space="0" w:color="auto"/>
                                  </w:divBdr>
                                </w:div>
                                <w:div w:id="39350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8544170">
          <w:marLeft w:val="0"/>
          <w:marRight w:val="0"/>
          <w:marTop w:val="0"/>
          <w:marBottom w:val="0"/>
          <w:divBdr>
            <w:top w:val="none" w:sz="0" w:space="0" w:color="auto"/>
            <w:left w:val="none" w:sz="0" w:space="0" w:color="auto"/>
            <w:bottom w:val="none" w:sz="0" w:space="0" w:color="auto"/>
            <w:right w:val="none" w:sz="0" w:space="0" w:color="auto"/>
          </w:divBdr>
          <w:divsChild>
            <w:div w:id="889995334">
              <w:marLeft w:val="0"/>
              <w:marRight w:val="0"/>
              <w:marTop w:val="0"/>
              <w:marBottom w:val="0"/>
              <w:divBdr>
                <w:top w:val="none" w:sz="0" w:space="0" w:color="auto"/>
                <w:left w:val="none" w:sz="0" w:space="0" w:color="auto"/>
                <w:bottom w:val="none" w:sz="0" w:space="0" w:color="auto"/>
                <w:right w:val="none" w:sz="0" w:space="0" w:color="auto"/>
              </w:divBdr>
              <w:divsChild>
                <w:div w:id="1437629470">
                  <w:marLeft w:val="0"/>
                  <w:marRight w:val="0"/>
                  <w:marTop w:val="0"/>
                  <w:marBottom w:val="0"/>
                  <w:divBdr>
                    <w:top w:val="none" w:sz="0" w:space="0" w:color="auto"/>
                    <w:left w:val="none" w:sz="0" w:space="0" w:color="auto"/>
                    <w:bottom w:val="none" w:sz="0" w:space="0" w:color="auto"/>
                    <w:right w:val="none" w:sz="0" w:space="0" w:color="auto"/>
                  </w:divBdr>
                  <w:divsChild>
                    <w:div w:id="1684896135">
                      <w:marLeft w:val="0"/>
                      <w:marRight w:val="0"/>
                      <w:marTop w:val="0"/>
                      <w:marBottom w:val="0"/>
                      <w:divBdr>
                        <w:top w:val="none" w:sz="0" w:space="0" w:color="auto"/>
                        <w:left w:val="none" w:sz="0" w:space="0" w:color="auto"/>
                        <w:bottom w:val="none" w:sz="0" w:space="0" w:color="auto"/>
                        <w:right w:val="none" w:sz="0" w:space="0" w:color="auto"/>
                      </w:divBdr>
                      <w:divsChild>
                        <w:div w:id="441416325">
                          <w:marLeft w:val="0"/>
                          <w:marRight w:val="0"/>
                          <w:marTop w:val="0"/>
                          <w:marBottom w:val="0"/>
                          <w:divBdr>
                            <w:top w:val="none" w:sz="0" w:space="0" w:color="auto"/>
                            <w:left w:val="none" w:sz="0" w:space="0" w:color="auto"/>
                            <w:bottom w:val="none" w:sz="0" w:space="0" w:color="auto"/>
                            <w:right w:val="none" w:sz="0" w:space="0" w:color="auto"/>
                          </w:divBdr>
                          <w:divsChild>
                            <w:div w:id="1308779694">
                              <w:marLeft w:val="0"/>
                              <w:marRight w:val="0"/>
                              <w:marTop w:val="0"/>
                              <w:marBottom w:val="0"/>
                              <w:divBdr>
                                <w:top w:val="none" w:sz="0" w:space="0" w:color="auto"/>
                                <w:left w:val="none" w:sz="0" w:space="0" w:color="auto"/>
                                <w:bottom w:val="none" w:sz="0" w:space="0" w:color="auto"/>
                                <w:right w:val="none" w:sz="0" w:space="0" w:color="auto"/>
                              </w:divBdr>
                              <w:divsChild>
                                <w:div w:id="78257236">
                                  <w:marLeft w:val="0"/>
                                  <w:marRight w:val="0"/>
                                  <w:marTop w:val="0"/>
                                  <w:marBottom w:val="0"/>
                                  <w:divBdr>
                                    <w:top w:val="none" w:sz="0" w:space="0" w:color="auto"/>
                                    <w:left w:val="none" w:sz="0" w:space="0" w:color="auto"/>
                                    <w:bottom w:val="none" w:sz="0" w:space="0" w:color="auto"/>
                                    <w:right w:val="none" w:sz="0" w:space="0" w:color="auto"/>
                                  </w:divBdr>
                                  <w:divsChild>
                                    <w:div w:id="1942910454">
                                      <w:marLeft w:val="0"/>
                                      <w:marRight w:val="0"/>
                                      <w:marTop w:val="0"/>
                                      <w:marBottom w:val="0"/>
                                      <w:divBdr>
                                        <w:top w:val="none" w:sz="0" w:space="0" w:color="auto"/>
                                        <w:left w:val="none" w:sz="0" w:space="0" w:color="auto"/>
                                        <w:bottom w:val="none" w:sz="0" w:space="0" w:color="auto"/>
                                        <w:right w:val="none" w:sz="0" w:space="0" w:color="auto"/>
                                      </w:divBdr>
                                      <w:divsChild>
                                        <w:div w:id="1382361781">
                                          <w:marLeft w:val="0"/>
                                          <w:marRight w:val="0"/>
                                          <w:marTop w:val="0"/>
                                          <w:marBottom w:val="0"/>
                                          <w:divBdr>
                                            <w:top w:val="none" w:sz="0" w:space="0" w:color="auto"/>
                                            <w:left w:val="none" w:sz="0" w:space="0" w:color="auto"/>
                                            <w:bottom w:val="none" w:sz="0" w:space="0" w:color="auto"/>
                                            <w:right w:val="none" w:sz="0" w:space="0" w:color="auto"/>
                                          </w:divBdr>
                                          <w:divsChild>
                                            <w:div w:id="1068190567">
                                              <w:marLeft w:val="0"/>
                                              <w:marRight w:val="0"/>
                                              <w:marTop w:val="0"/>
                                              <w:marBottom w:val="0"/>
                                              <w:divBdr>
                                                <w:top w:val="none" w:sz="0" w:space="0" w:color="auto"/>
                                                <w:left w:val="none" w:sz="0" w:space="0" w:color="auto"/>
                                                <w:bottom w:val="none" w:sz="0" w:space="0" w:color="auto"/>
                                                <w:right w:val="none" w:sz="0" w:space="0" w:color="auto"/>
                                              </w:divBdr>
                                              <w:divsChild>
                                                <w:div w:id="93776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TotalTime>
  <Pages>1</Pages>
  <Words>1844</Words>
  <Characters>10143</Characters>
  <Application>Microsoft Office Word</Application>
  <DocSecurity>0</DocSecurity>
  <Lines>84</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BELKA</dc:creator>
  <cp:lastModifiedBy>khadija Akebour</cp:lastModifiedBy>
  <cp:revision>15</cp:revision>
  <dcterms:created xsi:type="dcterms:W3CDTF">2025-11-27T19:22:00Z</dcterms:created>
  <dcterms:modified xsi:type="dcterms:W3CDTF">2026-09-25T14:18:00Z</dcterms:modified>
</cp:coreProperties>
</file>