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45B15D1" w:rsidR="00493C75" w:rsidRPr="00CF1CF6" w:rsidRDefault="00000000" w:rsidP="007A7E25">
      <w:pPr>
        <w:pStyle w:val="Titre"/>
        <w:rPr>
          <w:sz w:val="44"/>
          <w:szCs w:val="44"/>
        </w:rPr>
      </w:pPr>
      <w:r w:rsidRPr="00CF1CF6">
        <w:rPr>
          <w:sz w:val="44"/>
          <w:szCs w:val="44"/>
        </w:rPr>
        <w:t xml:space="preserve">Prédicteurs </w:t>
      </w:r>
      <w:r w:rsidR="006D38E5" w:rsidRPr="00CF1CF6">
        <w:rPr>
          <w:sz w:val="44"/>
          <w:szCs w:val="44"/>
        </w:rPr>
        <w:t>De L'efficacité Des Psychédéliques Dans Le Traitement De La Dépression</w:t>
      </w:r>
    </w:p>
    <w:p w14:paraId="00000002" w14:textId="77777777" w:rsidR="00493C75" w:rsidRPr="00CF1CF6" w:rsidRDefault="00000000" w:rsidP="007A7E25">
      <w:pPr>
        <w:spacing w:after="80"/>
        <w:rPr>
          <w:sz w:val="20"/>
          <w:szCs w:val="20"/>
        </w:rPr>
      </w:pPr>
      <w:r w:rsidRPr="00CF1CF6">
        <w:rPr>
          <w:b/>
          <w:bCs/>
          <w:i/>
          <w:iCs/>
        </w:rPr>
        <w:t>Une revue exploratoire (</w:t>
      </w:r>
      <w:proofErr w:type="spellStart"/>
      <w:r w:rsidRPr="00CF1CF6">
        <w:rPr>
          <w:b/>
          <w:bCs/>
          <w:i/>
          <w:iCs/>
        </w:rPr>
        <w:t>scoping</w:t>
      </w:r>
      <w:proofErr w:type="spellEnd"/>
      <w:r w:rsidRPr="00CF1CF6">
        <w:rPr>
          <w:b/>
          <w:bCs/>
          <w:i/>
          <w:iCs/>
        </w:rPr>
        <w:t xml:space="preserve"> </w:t>
      </w:r>
      <w:proofErr w:type="spellStart"/>
      <w:r w:rsidRPr="00CF1CF6">
        <w:rPr>
          <w:b/>
          <w:bCs/>
          <w:i/>
          <w:iCs/>
        </w:rPr>
        <w:t>review</w:t>
      </w:r>
      <w:proofErr w:type="spellEnd"/>
      <w:r w:rsidRPr="00CF1CF6">
        <w:rPr>
          <w:b/>
          <w:bCs/>
          <w:i/>
          <w:iCs/>
        </w:rPr>
        <w:t>)</w:t>
      </w:r>
    </w:p>
    <w:p w14:paraId="00000003" w14:textId="14B19A12" w:rsidR="00493C75" w:rsidRPr="00CF1CF6" w:rsidRDefault="00000000" w:rsidP="007A7E25">
      <w:pPr>
        <w:spacing w:after="320"/>
        <w:rPr>
          <w:b/>
          <w:bCs/>
          <w:color w:val="7030A0"/>
          <w:sz w:val="28"/>
          <w:szCs w:val="28"/>
        </w:rPr>
      </w:pPr>
      <w:r w:rsidRPr="00CF1CF6">
        <w:rPr>
          <w:i/>
          <w:iCs/>
          <w:color w:val="555555"/>
          <w:sz w:val="18"/>
          <w:szCs w:val="18"/>
        </w:rPr>
        <w:t xml:space="preserve">J. Chmiel, F. Rybakowski — Int. J. Mol. </w:t>
      </w:r>
      <w:proofErr w:type="spellStart"/>
      <w:r w:rsidRPr="00CF1CF6">
        <w:rPr>
          <w:i/>
          <w:iCs/>
          <w:color w:val="555555"/>
          <w:sz w:val="18"/>
          <w:szCs w:val="18"/>
        </w:rPr>
        <w:t>Sci</w:t>
      </w:r>
      <w:proofErr w:type="spellEnd"/>
      <w:r w:rsidRPr="00CF1CF6">
        <w:rPr>
          <w:i/>
          <w:iCs/>
          <w:color w:val="555555"/>
          <w:sz w:val="18"/>
          <w:szCs w:val="18"/>
        </w:rPr>
        <w:t>. 2026, 27, 2202</w:t>
      </w:r>
      <w:r w:rsidR="006D38E5" w:rsidRPr="00CF1CF6">
        <w:rPr>
          <w:i/>
          <w:iCs/>
          <w:color w:val="555555"/>
          <w:sz w:val="18"/>
          <w:szCs w:val="18"/>
        </w:rPr>
        <w:t xml:space="preserve">, </w:t>
      </w:r>
    </w:p>
    <w:p w14:paraId="5036362C" w14:textId="65EFC7B2" w:rsidR="007A7E25" w:rsidRPr="00CF1CF6" w:rsidRDefault="007A7E25" w:rsidP="007A7E25">
      <w:pPr>
        <w:spacing w:after="320"/>
        <w:rPr>
          <w:sz w:val="20"/>
          <w:szCs w:val="20"/>
        </w:rPr>
      </w:pPr>
      <w:r w:rsidRPr="00CF1CF6">
        <w:rPr>
          <w:noProof/>
          <w:sz w:val="20"/>
          <w:szCs w:val="20"/>
        </w:rPr>
        <w:drawing>
          <wp:inline distT="0" distB="0" distL="0" distR="0" wp14:anchorId="3ACCD1CE" wp14:editId="73E31D6C">
            <wp:extent cx="6120130" cy="2458085"/>
            <wp:effectExtent l="133350" t="114300" r="128270" b="170815"/>
            <wp:docPr id="4743928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92841" name=""/>
                    <pic:cNvPicPr/>
                  </pic:nvPicPr>
                  <pic:blipFill>
                    <a:blip r:embed="rId5"/>
                    <a:stretch>
                      <a:fillRect/>
                    </a:stretch>
                  </pic:blipFill>
                  <pic:spPr>
                    <a:xfrm>
                      <a:off x="0" y="0"/>
                      <a:ext cx="6120130" cy="24580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0000004" w14:textId="79332C2E" w:rsidR="00493C75" w:rsidRPr="00CF1CF6" w:rsidRDefault="006D38E5" w:rsidP="006D38E5">
      <w:pPr>
        <w:pStyle w:val="Style1"/>
        <w:spacing w:after="120"/>
      </w:pPr>
      <w:r w:rsidRPr="00CF1CF6">
        <w:t>1. INTRODUCTION</w:t>
      </w:r>
    </w:p>
    <w:p w14:paraId="00000005" w14:textId="77777777" w:rsidR="00493C75" w:rsidRPr="00CF1CF6" w:rsidRDefault="00000000">
      <w:pPr>
        <w:spacing w:after="160"/>
        <w:jc w:val="both"/>
        <w:rPr>
          <w:sz w:val="20"/>
          <w:szCs w:val="20"/>
        </w:rPr>
      </w:pPr>
      <w:r w:rsidRPr="00CF1CF6">
        <w:rPr>
          <w:sz w:val="20"/>
          <w:szCs w:val="20"/>
        </w:rPr>
        <w:t>La dépression constitue l'une des principales causes de morbidité mondiale, avec une prévalence élevée sur la vie entière et un retentissement majeur sur la qualité de vie. Les traitements antidépresseurs conventionnels (inhibiteurs sélectifs de la recapture de la sérotonine, ISRS) présentent souvent une efficacité retardée et des effets indésirables : seuls 35 % environ des patients atteignent une rémission complète après un premier traitement, et jusqu'à un tiers évoluent vers une dépression résistante au traitement (DRT). Dans ce contexte, les psychédéliques classiques (notamment la psilocybine) connaissent une « renaissance » scientifique, avec des essais cliniques récents montrant des effets antidépresseurs significatifs, y compris dans les formes résistantes.</w:t>
      </w:r>
    </w:p>
    <w:p w14:paraId="00000006" w14:textId="77777777" w:rsidR="00493C75" w:rsidRPr="00CF1CF6" w:rsidRDefault="00000000">
      <w:pPr>
        <w:spacing w:after="160"/>
        <w:jc w:val="both"/>
        <w:rPr>
          <w:sz w:val="20"/>
          <w:szCs w:val="20"/>
        </w:rPr>
      </w:pPr>
      <w:r w:rsidRPr="00CF1CF6">
        <w:rPr>
          <w:sz w:val="20"/>
          <w:szCs w:val="20"/>
        </w:rPr>
        <w:t xml:space="preserve">Sur le plan pharmacologique, la </w:t>
      </w:r>
      <w:proofErr w:type="spellStart"/>
      <w:r w:rsidRPr="00CF1CF6">
        <w:rPr>
          <w:sz w:val="20"/>
          <w:szCs w:val="20"/>
        </w:rPr>
        <w:t>psilocine</w:t>
      </w:r>
      <w:proofErr w:type="spellEnd"/>
      <w:r w:rsidRPr="00CF1CF6">
        <w:rPr>
          <w:sz w:val="20"/>
          <w:szCs w:val="20"/>
        </w:rPr>
        <w:t xml:space="preserve"> (métabolite actif de la psilocybine) est un agoniste puissant des récepteurs sérotoninergiques 5-HT2A, densément exprimés dans les régions corticales et limbiques impliquées dans l'humeur et la cognition. Cette activation déclenche des cascades moléculaires favorisant la neuroplasticité (libération de glutamate, activation des récepteurs AMPA/NMDA, régulation positive du facteur neurotrophique dérivé du cerveau [BDNF] et de la voie mTOR). D'autres cibles </w:t>
      </w:r>
      <w:proofErr w:type="spellStart"/>
      <w:r w:rsidRPr="00CF1CF6">
        <w:rPr>
          <w:sz w:val="20"/>
          <w:szCs w:val="20"/>
        </w:rPr>
        <w:t>réceptorielles</w:t>
      </w:r>
      <w:proofErr w:type="spellEnd"/>
      <w:r w:rsidRPr="00CF1CF6">
        <w:rPr>
          <w:sz w:val="20"/>
          <w:szCs w:val="20"/>
        </w:rPr>
        <w:t xml:space="preserve"> (5-HT1A, 5-HT2C, sigma-1, TAAR1) et des effets systémiques (élévation transitoire du cortisol, réduction des cytokines pro-inflammatoires interleukine-6 [IL-6] et facteur de nécrose tumorale alpha [TNF-α], de la protéine C-réactive [CRP]) participent également au mécanisme d'action. Les risques cardiovasculaires (tachycardie, hypertension transitoire, allongement du </w:t>
      </w:r>
      <w:proofErr w:type="spellStart"/>
      <w:r w:rsidRPr="00CF1CF6">
        <w:rPr>
          <w:sz w:val="20"/>
          <w:szCs w:val="20"/>
        </w:rPr>
        <w:t>QTc</w:t>
      </w:r>
      <w:proofErr w:type="spellEnd"/>
      <w:r w:rsidRPr="00CF1CF6">
        <w:rPr>
          <w:sz w:val="20"/>
          <w:szCs w:val="20"/>
        </w:rPr>
        <w:t>, risque théorique de valvulopathie en cas de microdosage répété via l'</w:t>
      </w:r>
      <w:proofErr w:type="spellStart"/>
      <w:r w:rsidRPr="00CF1CF6">
        <w:rPr>
          <w:sz w:val="20"/>
          <w:szCs w:val="20"/>
        </w:rPr>
        <w:t>agonisme</w:t>
      </w:r>
      <w:proofErr w:type="spellEnd"/>
      <w:r w:rsidRPr="00CF1CF6">
        <w:rPr>
          <w:sz w:val="20"/>
          <w:szCs w:val="20"/>
        </w:rPr>
        <w:t xml:space="preserve"> 5-HT2B) sont généralement mineurs sous surveillance médicale, à l'exception notable de l'ibogaïne, associée à un risque documenté d'arythmies ventriculaires graves.</w:t>
      </w:r>
    </w:p>
    <w:p w14:paraId="3A8E662C" w14:textId="03F282C0" w:rsidR="006D38E5" w:rsidRPr="00CF1CF6" w:rsidRDefault="00000000" w:rsidP="006D38E5">
      <w:pPr>
        <w:spacing w:after="160"/>
        <w:jc w:val="both"/>
        <w:rPr>
          <w:sz w:val="20"/>
          <w:szCs w:val="20"/>
        </w:rPr>
      </w:pPr>
      <w:r w:rsidRPr="00CF1CF6">
        <w:rPr>
          <w:sz w:val="20"/>
          <w:szCs w:val="20"/>
        </w:rPr>
        <w:t>L'objectif central de cette revue est d'évaluer la robustesse des prédicteurs proposés de la réponse antidépressive aux psychédéliques, afin de distinguer les facteurs simplement suggérés de ceux validés comme fiables pour orienter la sélection des patients et la personnalisation des soins.</w:t>
      </w:r>
    </w:p>
    <w:p w14:paraId="51126A66" w14:textId="77777777" w:rsidR="00151F3E" w:rsidRPr="00CF1CF6" w:rsidRDefault="00151F3E" w:rsidP="006D38E5">
      <w:pPr>
        <w:spacing w:after="160"/>
        <w:jc w:val="both"/>
        <w:rPr>
          <w:sz w:val="20"/>
          <w:szCs w:val="20"/>
        </w:rPr>
      </w:pPr>
    </w:p>
    <w:p w14:paraId="5FEB07AE" w14:textId="2DCA9695" w:rsidR="00151F3E" w:rsidRPr="00CF1CF6" w:rsidRDefault="00151F3E" w:rsidP="00151F3E">
      <w:pPr>
        <w:pStyle w:val="Style1"/>
        <w:rPr>
          <w:sz w:val="22"/>
          <w:szCs w:val="22"/>
        </w:rPr>
      </w:pPr>
      <w:r w:rsidRPr="00CF1CF6">
        <w:rPr>
          <w:sz w:val="22"/>
          <w:szCs w:val="22"/>
        </w:rPr>
        <w:t>2. MATERIEL ET METHODES</w:t>
      </w:r>
    </w:p>
    <w:p w14:paraId="5692761A" w14:textId="77777777" w:rsidR="00151F3E" w:rsidRPr="00CF1CF6" w:rsidRDefault="00151F3E" w:rsidP="00151F3E">
      <w:pPr>
        <w:spacing w:after="160"/>
        <w:jc w:val="both"/>
        <w:rPr>
          <w:sz w:val="20"/>
          <w:szCs w:val="20"/>
        </w:rPr>
      </w:pPr>
      <w:r w:rsidRPr="00CF1CF6">
        <w:rPr>
          <w:sz w:val="20"/>
          <w:szCs w:val="20"/>
        </w:rPr>
        <w:t>Cette étude est une revue exploratoire suivant les principes PRISMA-</w:t>
      </w:r>
      <w:proofErr w:type="spellStart"/>
      <w:r w:rsidRPr="00CF1CF6">
        <w:rPr>
          <w:sz w:val="20"/>
          <w:szCs w:val="20"/>
        </w:rPr>
        <w:t>ScR</w:t>
      </w:r>
      <w:proofErr w:type="spellEnd"/>
      <w:r w:rsidRPr="00CF1CF6">
        <w:rPr>
          <w:sz w:val="20"/>
          <w:szCs w:val="20"/>
        </w:rPr>
        <w:t xml:space="preserve">. La question de recherche portait sur les facteurs liés au patient ou au traitement proposés ou évalués comme prédicteurs de l'efficacité de la thérapie assistée par psychédéliques dans la dépression. Les critères d'éligibilité incluaient des adultes présentant un trouble dépressif (trouble dépressif majeur, trouble dépressif persistant, DRT), traités par psilocybine, diéthylamide de l'acide lysergique (LSD), ayahuasca, </w:t>
      </w:r>
      <w:proofErr w:type="spellStart"/>
      <w:r w:rsidRPr="00CF1CF6">
        <w:rPr>
          <w:sz w:val="20"/>
          <w:szCs w:val="20"/>
        </w:rPr>
        <w:t>diméthyltryptamine</w:t>
      </w:r>
      <w:proofErr w:type="spellEnd"/>
      <w:r w:rsidRPr="00CF1CF6">
        <w:rPr>
          <w:sz w:val="20"/>
          <w:szCs w:val="20"/>
        </w:rPr>
        <w:t xml:space="preserve"> (DMT) ou mescaline, avec ou sans comparateur, rapportant tout type de </w:t>
      </w:r>
      <w:r w:rsidRPr="00CF1CF6">
        <w:rPr>
          <w:sz w:val="20"/>
          <w:szCs w:val="20"/>
        </w:rPr>
        <w:lastRenderedPageBreak/>
        <w:t>prédicteur (démographique, clinique, neurobiologique, psychométrique, psychologique) associé à la réponse thérapeutique. Les essais randomisés, études observationnelles prospectives ou rétrospectives, analyses secondaires et études de modélisation prédictive exploratoire étaient éligibles ; seuls les articles de revue à comité de lecture en anglais étaient retenus, à l'exclusion des résumés de conférence, éditoriaux et revues narratives.</w:t>
      </w:r>
    </w:p>
    <w:p w14:paraId="41C0D247" w14:textId="23093DE6" w:rsidR="006D38E5" w:rsidRPr="00CF1CF6" w:rsidRDefault="00151F3E" w:rsidP="00C4161A">
      <w:pPr>
        <w:spacing w:after="160"/>
        <w:jc w:val="both"/>
        <w:rPr>
          <w:sz w:val="20"/>
          <w:szCs w:val="20"/>
        </w:rPr>
      </w:pPr>
      <w:r w:rsidRPr="00CF1CF6">
        <w:rPr>
          <w:sz w:val="20"/>
          <w:szCs w:val="20"/>
        </w:rPr>
        <w:t xml:space="preserve">Les bases PubMed (MEDLINE), Embase, </w:t>
      </w:r>
      <w:proofErr w:type="spellStart"/>
      <w:r w:rsidRPr="00CF1CF6">
        <w:rPr>
          <w:sz w:val="20"/>
          <w:szCs w:val="20"/>
        </w:rPr>
        <w:t>PsycINFO</w:t>
      </w:r>
      <w:proofErr w:type="spellEnd"/>
      <w:r w:rsidRPr="00CF1CF6">
        <w:rPr>
          <w:sz w:val="20"/>
          <w:szCs w:val="20"/>
        </w:rPr>
        <w:t xml:space="preserve"> et Web of Science ont été interrogées entre septembre et octobre 2025, combinant vocabulaire contrôlé (</w:t>
      </w:r>
      <w:proofErr w:type="spellStart"/>
      <w:r w:rsidRPr="00CF1CF6">
        <w:rPr>
          <w:sz w:val="20"/>
          <w:szCs w:val="20"/>
        </w:rPr>
        <w:t>Medical</w:t>
      </w:r>
      <w:proofErr w:type="spellEnd"/>
      <w:r w:rsidRPr="00CF1CF6">
        <w:rPr>
          <w:sz w:val="20"/>
          <w:szCs w:val="20"/>
        </w:rPr>
        <w:t xml:space="preserve"> Subject Headings, MeSH) et texte libre (psychédéliques, dépression, prédicteurs), complétées par une recherche manuelle des références bibliographiques. La sélection des études a été réalisée en double lecture indépendante des titres/résumés puis des textes intégraux, avec dédoublonnage sous </w:t>
      </w:r>
      <w:proofErr w:type="spellStart"/>
      <w:r w:rsidRPr="00CF1CF6">
        <w:rPr>
          <w:sz w:val="20"/>
          <w:szCs w:val="20"/>
        </w:rPr>
        <w:t>EndNote</w:t>
      </w:r>
      <w:proofErr w:type="spellEnd"/>
      <w:r w:rsidRPr="00CF1CF6">
        <w:rPr>
          <w:sz w:val="20"/>
          <w:szCs w:val="20"/>
        </w:rPr>
        <w:t xml:space="preserve"> 21, et résolution des désaccords par discussion ou consultation d'un troisième relecteur.</w:t>
      </w:r>
    </w:p>
    <w:p w14:paraId="00000008" w14:textId="1E91D97A" w:rsidR="00493C75" w:rsidRPr="00CF1CF6" w:rsidRDefault="00151F3E" w:rsidP="006D38E5">
      <w:pPr>
        <w:pStyle w:val="Style1"/>
        <w:spacing w:after="120"/>
      </w:pPr>
      <w:r w:rsidRPr="00CF1CF6">
        <w:t>3</w:t>
      </w:r>
      <w:r w:rsidR="006D38E5" w:rsidRPr="00CF1CF6">
        <w:t>. RESULTATS</w:t>
      </w:r>
    </w:p>
    <w:p w14:paraId="1AC3EE40" w14:textId="34986591" w:rsidR="006D38E5" w:rsidRPr="00CF1CF6" w:rsidRDefault="00000000" w:rsidP="00C4161A">
      <w:pPr>
        <w:spacing w:after="160"/>
        <w:jc w:val="both"/>
        <w:rPr>
          <w:sz w:val="20"/>
          <w:szCs w:val="20"/>
        </w:rPr>
      </w:pPr>
      <w:r w:rsidRPr="00CF1CF6">
        <w:rPr>
          <w:sz w:val="20"/>
          <w:szCs w:val="20"/>
        </w:rPr>
        <w:t>Sur 421 études identifiées, 48 publications ont été incluses après sélection en plusieurs étapes (élimination des doublons, filtrage sur titre/résumé, puis sur texte intégral), selon le processus PRISMA-</w:t>
      </w:r>
      <w:proofErr w:type="spellStart"/>
      <w:r w:rsidRPr="00CF1CF6">
        <w:rPr>
          <w:sz w:val="20"/>
          <w:szCs w:val="20"/>
        </w:rPr>
        <w:t>ScR</w:t>
      </w:r>
      <w:proofErr w:type="spellEnd"/>
      <w:r w:rsidRPr="00CF1CF6">
        <w:rPr>
          <w:sz w:val="20"/>
          <w:szCs w:val="20"/>
        </w:rPr>
        <w:t xml:space="preserve"> (</w:t>
      </w:r>
      <w:proofErr w:type="spellStart"/>
      <w:r w:rsidRPr="00CF1CF6">
        <w:rPr>
          <w:sz w:val="20"/>
          <w:szCs w:val="20"/>
        </w:rPr>
        <w:t>Preferred</w:t>
      </w:r>
      <w:proofErr w:type="spellEnd"/>
      <w:r w:rsidRPr="00CF1CF6">
        <w:rPr>
          <w:sz w:val="20"/>
          <w:szCs w:val="20"/>
        </w:rPr>
        <w:t xml:space="preserve"> </w:t>
      </w:r>
      <w:proofErr w:type="spellStart"/>
      <w:r w:rsidRPr="00CF1CF6">
        <w:rPr>
          <w:sz w:val="20"/>
          <w:szCs w:val="20"/>
        </w:rPr>
        <w:t>Reporting</w:t>
      </w:r>
      <w:proofErr w:type="spellEnd"/>
      <w:r w:rsidRPr="00CF1CF6">
        <w:rPr>
          <w:sz w:val="20"/>
          <w:szCs w:val="20"/>
        </w:rPr>
        <w:t xml:space="preserve"> Items for </w:t>
      </w:r>
      <w:proofErr w:type="spellStart"/>
      <w:r w:rsidRPr="00CF1CF6">
        <w:rPr>
          <w:sz w:val="20"/>
          <w:szCs w:val="20"/>
        </w:rPr>
        <w:t>Systematic</w:t>
      </w:r>
      <w:proofErr w:type="spellEnd"/>
      <w:r w:rsidRPr="00CF1CF6">
        <w:rPr>
          <w:sz w:val="20"/>
          <w:szCs w:val="20"/>
        </w:rPr>
        <w:t xml:space="preserve"> </w:t>
      </w:r>
      <w:proofErr w:type="spellStart"/>
      <w:r w:rsidRPr="00CF1CF6">
        <w:rPr>
          <w:sz w:val="20"/>
          <w:szCs w:val="20"/>
        </w:rPr>
        <w:t>Reviews</w:t>
      </w:r>
      <w:proofErr w:type="spellEnd"/>
      <w:r w:rsidRPr="00CF1CF6">
        <w:rPr>
          <w:sz w:val="20"/>
          <w:szCs w:val="20"/>
        </w:rPr>
        <w:t xml:space="preserve"> and Meta-Analyses extension for </w:t>
      </w:r>
      <w:proofErr w:type="spellStart"/>
      <w:r w:rsidRPr="00CF1CF6">
        <w:rPr>
          <w:sz w:val="20"/>
          <w:szCs w:val="20"/>
        </w:rPr>
        <w:t>Scoping</w:t>
      </w:r>
      <w:proofErr w:type="spellEnd"/>
      <w:r w:rsidRPr="00CF1CF6">
        <w:rPr>
          <w:sz w:val="20"/>
          <w:szCs w:val="20"/>
        </w:rPr>
        <w:t xml:space="preserve"> </w:t>
      </w:r>
      <w:proofErr w:type="spellStart"/>
      <w:r w:rsidRPr="00CF1CF6">
        <w:rPr>
          <w:sz w:val="20"/>
          <w:szCs w:val="20"/>
        </w:rPr>
        <w:t>Reviews</w:t>
      </w:r>
      <w:proofErr w:type="spellEnd"/>
      <w:r w:rsidRPr="00CF1CF6">
        <w:rPr>
          <w:sz w:val="20"/>
          <w:szCs w:val="20"/>
        </w:rPr>
        <w:t>).</w:t>
      </w:r>
    </w:p>
    <w:p w14:paraId="0000000A" w14:textId="22E87979" w:rsidR="00493C75" w:rsidRPr="00CF1CF6" w:rsidRDefault="00151F3E" w:rsidP="006D38E5">
      <w:pPr>
        <w:pStyle w:val="Style2"/>
        <w:rPr>
          <w:sz w:val="22"/>
          <w:szCs w:val="22"/>
        </w:rPr>
      </w:pPr>
      <w:r w:rsidRPr="00CF1CF6">
        <w:rPr>
          <w:sz w:val="22"/>
          <w:szCs w:val="22"/>
        </w:rPr>
        <w:t>3</w:t>
      </w:r>
      <w:r w:rsidR="006D38E5" w:rsidRPr="00CF1CF6">
        <w:rPr>
          <w:sz w:val="22"/>
          <w:szCs w:val="22"/>
        </w:rPr>
        <w:t>.1. L</w:t>
      </w:r>
      <w:r w:rsidRPr="00CF1CF6">
        <w:rPr>
          <w:sz w:val="22"/>
          <w:szCs w:val="22"/>
        </w:rPr>
        <w:t>'expérience psychédélique aiguë comme déterminant de la réponse antidépressive</w:t>
      </w:r>
    </w:p>
    <w:p w14:paraId="0000000B" w14:textId="77777777" w:rsidR="00493C75" w:rsidRPr="00CF1CF6" w:rsidRDefault="00000000">
      <w:pPr>
        <w:spacing w:after="160"/>
        <w:jc w:val="both"/>
        <w:rPr>
          <w:sz w:val="20"/>
          <w:szCs w:val="20"/>
        </w:rPr>
      </w:pPr>
      <w:r w:rsidRPr="00CF1CF6">
        <w:rPr>
          <w:sz w:val="20"/>
          <w:szCs w:val="20"/>
        </w:rPr>
        <w:t xml:space="preserve">C'est la qualité de l'état psychédélique aigu, plus que son intensité, qui prédit de façon constante le bénéfice clinique. Dans la DRT, une expérience de dissolution océanique élevée (mystique/unitive) associée à une faible peur de la dissolution du moi prédit des réductions plus importantes des scores dépressifs (Quick Inventory of </w:t>
      </w:r>
      <w:proofErr w:type="spellStart"/>
      <w:r w:rsidRPr="00CF1CF6">
        <w:rPr>
          <w:sz w:val="20"/>
          <w:szCs w:val="20"/>
        </w:rPr>
        <w:t>Depressive</w:t>
      </w:r>
      <w:proofErr w:type="spellEnd"/>
      <w:r w:rsidRPr="00CF1CF6">
        <w:rPr>
          <w:sz w:val="20"/>
          <w:szCs w:val="20"/>
        </w:rPr>
        <w:t xml:space="preserve"> </w:t>
      </w:r>
      <w:proofErr w:type="spellStart"/>
      <w:r w:rsidRPr="00CF1CF6">
        <w:rPr>
          <w:sz w:val="20"/>
          <w:szCs w:val="20"/>
        </w:rPr>
        <w:t>Symptomatology</w:t>
      </w:r>
      <w:proofErr w:type="spellEnd"/>
      <w:r w:rsidRPr="00CF1CF6">
        <w:rPr>
          <w:sz w:val="20"/>
          <w:szCs w:val="20"/>
        </w:rPr>
        <w:t xml:space="preserve">, QIDS-SR) à 1 jour, 1 semaine et 5 semaines, expliquant à elles deux environ 54 % de la variance à 5 semaines. Les altérations perceptives isolées (visuelles/auditives) ne sont pas prédictives. Dans un essai comparant psilocybine et </w:t>
      </w:r>
      <w:proofErr w:type="spellStart"/>
      <w:r w:rsidRPr="00CF1CF6">
        <w:rPr>
          <w:sz w:val="20"/>
          <w:szCs w:val="20"/>
        </w:rPr>
        <w:t>escitalopram</w:t>
      </w:r>
      <w:proofErr w:type="spellEnd"/>
      <w:r w:rsidRPr="00CF1CF6">
        <w:rPr>
          <w:sz w:val="20"/>
          <w:szCs w:val="20"/>
        </w:rPr>
        <w:t>, l'expérience mystique et la dissolution du moi médiatisent statistiquement la supériorité de la psilocybine, indépendamment de l'intensité générale. Une analyse de dose (COMP360) confirme que la dissolution océanique, la restructuration visuelle et le score d'irruption émotionnelle (</w:t>
      </w:r>
      <w:proofErr w:type="spellStart"/>
      <w:r w:rsidRPr="00CF1CF6">
        <w:rPr>
          <w:sz w:val="20"/>
          <w:szCs w:val="20"/>
        </w:rPr>
        <w:t>Emotional</w:t>
      </w:r>
      <w:proofErr w:type="spellEnd"/>
      <w:r w:rsidRPr="00CF1CF6">
        <w:rPr>
          <w:sz w:val="20"/>
          <w:szCs w:val="20"/>
        </w:rPr>
        <w:t xml:space="preserve"> </w:t>
      </w:r>
      <w:proofErr w:type="spellStart"/>
      <w:r w:rsidRPr="00CF1CF6">
        <w:rPr>
          <w:sz w:val="20"/>
          <w:szCs w:val="20"/>
        </w:rPr>
        <w:t>Breakthrough</w:t>
      </w:r>
      <w:proofErr w:type="spellEnd"/>
      <w:r w:rsidRPr="00CF1CF6">
        <w:rPr>
          <w:sz w:val="20"/>
          <w:szCs w:val="20"/>
        </w:rPr>
        <w:t xml:space="preserve"> Inventory, EBI) corrèlent le plus fortement avec l'amélioration à 3 semaines, alors que la dissolution anxieuse du moi n'est que faiblement liée à l'issue.</w:t>
      </w:r>
    </w:p>
    <w:p w14:paraId="0000000C" w14:textId="5AF8E845" w:rsidR="00493C75" w:rsidRPr="00CF1CF6" w:rsidRDefault="00000000">
      <w:pPr>
        <w:spacing w:after="160"/>
        <w:jc w:val="both"/>
        <w:rPr>
          <w:sz w:val="20"/>
          <w:szCs w:val="20"/>
        </w:rPr>
      </w:pPr>
      <w:r w:rsidRPr="00CF1CF6">
        <w:rPr>
          <w:sz w:val="20"/>
          <w:szCs w:val="20"/>
        </w:rPr>
        <w:t>Certaines cohortes nuancent ce constat : dans un programme suisse d'usage médical, c'est la relaxation en temps réel (plutôt que l'expérience mystique rétrospective) qui prédit le mieux la réponse ; chez des vétérans américains atteints de DRT sévère, les scores d'état de conscience modifiée n'ont pas médié l'amélioration clinique malgré des effets robustes. L'irruption émotionnelle (EBI) apparaît comme un prédicteur indépendant particulièrement solide lorsque plusieurs construits expérientiels sont modélisés simultanément, tandis que les expériences difficiles ne sont pas associées à un bénéfice une fois ces autres variables prises en compte.</w:t>
      </w:r>
    </w:p>
    <w:p w14:paraId="0000000D" w14:textId="5DE6E6A9" w:rsidR="00493C75" w:rsidRPr="00CF1CF6" w:rsidRDefault="00151F3E" w:rsidP="00446AEA">
      <w:pPr>
        <w:pStyle w:val="Style2"/>
        <w:rPr>
          <w:sz w:val="22"/>
          <w:szCs w:val="22"/>
        </w:rPr>
      </w:pPr>
      <w:r w:rsidRPr="00CF1CF6">
        <w:rPr>
          <w:sz w:val="22"/>
          <w:szCs w:val="22"/>
        </w:rPr>
        <w:t>3.2. Contexte (set and setting) : alliance thérapeutique et musique</w:t>
      </w:r>
    </w:p>
    <w:p w14:paraId="0000000E" w14:textId="77777777" w:rsidR="00493C75" w:rsidRPr="00CF1CF6" w:rsidRDefault="00000000">
      <w:pPr>
        <w:spacing w:after="160"/>
        <w:jc w:val="both"/>
        <w:rPr>
          <w:sz w:val="20"/>
          <w:szCs w:val="20"/>
        </w:rPr>
      </w:pPr>
      <w:r w:rsidRPr="00CF1CF6">
        <w:rPr>
          <w:sz w:val="20"/>
          <w:szCs w:val="20"/>
        </w:rPr>
        <w:t xml:space="preserve">Une alliance thérapeutique solide et un environnement musical adapté sont des déterminants processuels précis. Une alliance </w:t>
      </w:r>
      <w:proofErr w:type="spellStart"/>
      <w:r w:rsidRPr="00CF1CF6">
        <w:rPr>
          <w:sz w:val="20"/>
          <w:szCs w:val="20"/>
        </w:rPr>
        <w:t>pré-séance</w:t>
      </w:r>
      <w:proofErr w:type="spellEnd"/>
      <w:r w:rsidRPr="00CF1CF6">
        <w:rPr>
          <w:sz w:val="20"/>
          <w:szCs w:val="20"/>
        </w:rPr>
        <w:t xml:space="preserve"> renforcée prédit une irruption émotionnelle et une expérience mystique plus marquées, ainsi qu'une dépression réduite à 6 semaines ; l'alliance post-séance est un prédicteur encore plus puissant, avec des corrélations persistant jusqu'à 12 mois. La qualité de l'expérience musicale (appréciation, résonance, ouverture) prédit à la fois l'expérience mystique/l'introspection et la réduction des symptômes dépressifs, alors que l'intensité subjective de la substance ne prédit que les altérations perceptives.</w:t>
      </w:r>
    </w:p>
    <w:p w14:paraId="0000000F" w14:textId="729791FA" w:rsidR="00493C75" w:rsidRPr="00CF1CF6" w:rsidRDefault="00151F3E" w:rsidP="00446AEA">
      <w:pPr>
        <w:pStyle w:val="Style2"/>
        <w:rPr>
          <w:sz w:val="22"/>
          <w:szCs w:val="22"/>
        </w:rPr>
      </w:pPr>
      <w:r w:rsidRPr="00CF1CF6">
        <w:rPr>
          <w:sz w:val="22"/>
          <w:szCs w:val="22"/>
        </w:rPr>
        <w:t>3.3. Attentes (</w:t>
      </w:r>
      <w:proofErr w:type="spellStart"/>
      <w:r w:rsidRPr="00CF1CF6">
        <w:rPr>
          <w:sz w:val="22"/>
          <w:szCs w:val="22"/>
        </w:rPr>
        <w:t>expectancy</w:t>
      </w:r>
      <w:proofErr w:type="spellEnd"/>
      <w:r w:rsidRPr="00CF1CF6">
        <w:rPr>
          <w:sz w:val="22"/>
          <w:szCs w:val="22"/>
        </w:rPr>
        <w:t>), suggestibilité et absorption</w:t>
      </w:r>
    </w:p>
    <w:p w14:paraId="00000010" w14:textId="77777777" w:rsidR="00493C75" w:rsidRPr="00CF1CF6" w:rsidRDefault="00000000">
      <w:pPr>
        <w:spacing w:after="160"/>
        <w:jc w:val="both"/>
        <w:rPr>
          <w:sz w:val="20"/>
          <w:szCs w:val="20"/>
        </w:rPr>
      </w:pPr>
      <w:r w:rsidRPr="00CF1CF6">
        <w:rPr>
          <w:sz w:val="20"/>
          <w:szCs w:val="20"/>
        </w:rPr>
        <w:t xml:space="preserve">Un schéma constant émerge : l'attente d'amélioration prédit fortement les résultats sous </w:t>
      </w:r>
      <w:proofErr w:type="spellStart"/>
      <w:r w:rsidRPr="00CF1CF6">
        <w:rPr>
          <w:sz w:val="20"/>
          <w:szCs w:val="20"/>
        </w:rPr>
        <w:t>escitalopram</w:t>
      </w:r>
      <w:proofErr w:type="spellEnd"/>
      <w:r w:rsidRPr="00CF1CF6">
        <w:rPr>
          <w:sz w:val="20"/>
          <w:szCs w:val="20"/>
        </w:rPr>
        <w:t>, mais pas sous psilocybine. Inversement, la suggestibilité de trait (et non l'absorption) module spécifiquement le bénéfice de la psilocybine. Lorsque l'attente est ajustée statistiquement, l'avantage nominal de la psilocybine sur l'</w:t>
      </w:r>
      <w:proofErr w:type="spellStart"/>
      <w:r w:rsidRPr="00CF1CF6">
        <w:rPr>
          <w:sz w:val="20"/>
          <w:szCs w:val="20"/>
        </w:rPr>
        <w:t>escitalopram</w:t>
      </w:r>
      <w:proofErr w:type="spellEnd"/>
      <w:r w:rsidRPr="00CF1CF6">
        <w:rPr>
          <w:sz w:val="20"/>
          <w:szCs w:val="20"/>
        </w:rPr>
        <w:t xml:space="preserve"> disparaît, suggérant un effet nocebo pénalisant l'ISRS plutôt qu'un effet placebo majorant la psilocybine. Dans un large échantillon naturaliste, l'irruption émotionnelle et la dissolution du moi (mais pas l'expérience mystique) prédisent de façon unique les attentes antidépressives.</w:t>
      </w:r>
    </w:p>
    <w:p w14:paraId="00000011" w14:textId="08544958" w:rsidR="00493C75" w:rsidRPr="00CF1CF6" w:rsidRDefault="00151F3E" w:rsidP="00446AEA">
      <w:pPr>
        <w:pStyle w:val="Style2"/>
        <w:rPr>
          <w:sz w:val="22"/>
          <w:szCs w:val="22"/>
        </w:rPr>
      </w:pPr>
      <w:r w:rsidRPr="00CF1CF6">
        <w:rPr>
          <w:sz w:val="22"/>
          <w:szCs w:val="22"/>
        </w:rPr>
        <w:t>3.4. Dose, schéma posologique et usage antérieur</w:t>
      </w:r>
    </w:p>
    <w:p w14:paraId="00000012" w14:textId="77777777" w:rsidR="00493C75" w:rsidRPr="00CF1CF6" w:rsidRDefault="00000000">
      <w:pPr>
        <w:spacing w:after="160"/>
        <w:jc w:val="both"/>
        <w:rPr>
          <w:sz w:val="20"/>
          <w:szCs w:val="20"/>
        </w:rPr>
      </w:pPr>
      <w:r w:rsidRPr="00CF1CF6">
        <w:rPr>
          <w:sz w:val="20"/>
          <w:szCs w:val="20"/>
        </w:rPr>
        <w:t>La dose module l'issue principalement via des caractéristiques qualitatives de l'expérience plutôt que par son intensité brute. La première séance porte le signal prédictif le plus fort ; ce lien s'atténue lors des séances suivantes malgré une proportion croissante d'expériences « mystiques complètes ». Un usage antérieur extensif de psychédéliques est associé à des gains incrémentiels plus faibles, possiblement en raison d'une tolérance pharmacodynamique ou d'une diminution de l'erreur de prédiction (signal de « surprise »).</w:t>
      </w:r>
    </w:p>
    <w:p w14:paraId="00000013" w14:textId="06694DAB" w:rsidR="00493C75" w:rsidRPr="00CF1CF6" w:rsidRDefault="00151F3E" w:rsidP="00446AEA">
      <w:pPr>
        <w:pStyle w:val="Style2"/>
        <w:rPr>
          <w:sz w:val="22"/>
          <w:szCs w:val="22"/>
        </w:rPr>
      </w:pPr>
      <w:r w:rsidRPr="00CF1CF6">
        <w:rPr>
          <w:sz w:val="22"/>
          <w:szCs w:val="22"/>
        </w:rPr>
        <w:t>3.5. Comorbidités et caractéristiques de base</w:t>
      </w:r>
    </w:p>
    <w:p w14:paraId="00000014" w14:textId="77777777" w:rsidR="00493C75" w:rsidRPr="00CF1CF6" w:rsidRDefault="00000000">
      <w:pPr>
        <w:spacing w:after="160"/>
        <w:jc w:val="both"/>
        <w:rPr>
          <w:sz w:val="20"/>
          <w:szCs w:val="20"/>
        </w:rPr>
      </w:pPr>
      <w:r w:rsidRPr="00CF1CF6">
        <w:rPr>
          <w:sz w:val="20"/>
          <w:szCs w:val="20"/>
        </w:rPr>
        <w:lastRenderedPageBreak/>
        <w:t xml:space="preserve">Le trouble de stress post-traumatique (TSPT) comorbide atténue parfois la trajectoire antidépressive, notamment dans une cohorte de DRT sévère où seuls les patients sans TSPT atteignaient systématiquement </w:t>
      </w:r>
      <w:proofErr w:type="gramStart"/>
      <w:r w:rsidRPr="00CF1CF6">
        <w:rPr>
          <w:sz w:val="20"/>
          <w:szCs w:val="20"/>
        </w:rPr>
        <w:t>la</w:t>
      </w:r>
      <w:proofErr w:type="gramEnd"/>
      <w:r w:rsidRPr="00CF1CF6">
        <w:rPr>
          <w:sz w:val="20"/>
          <w:szCs w:val="20"/>
        </w:rPr>
        <w:t xml:space="preserve"> réponse/rémission — mais cet effet n'est pas retrouvé dans une cohorte de vétérans à forte prévalence de TSPT. Les marqueurs linguistiques de base (moindre usage de mots à valence positive) prédisent le statut de répondeur avec une précision d'environ 85 %. Un névrosisme de base élevé tend à s'associer à une amélioration dépressive moindre. La motivation « médicinale » (démarche d'</w:t>
      </w:r>
      <w:proofErr w:type="spellStart"/>
      <w:r w:rsidRPr="00CF1CF6">
        <w:rPr>
          <w:sz w:val="20"/>
          <w:szCs w:val="20"/>
        </w:rPr>
        <w:t>auto-guérison</w:t>
      </w:r>
      <w:proofErr w:type="spellEnd"/>
      <w:r w:rsidRPr="00CF1CF6">
        <w:rPr>
          <w:sz w:val="20"/>
          <w:szCs w:val="20"/>
        </w:rPr>
        <w:t>), une dose plus élevée, et un moindre usage antérieur de psychédéliques prédisent indépendamment une meilleure réponse. Les variables démographiques (âge, sexe) sont globalement non informatives.</w:t>
      </w:r>
    </w:p>
    <w:p w14:paraId="00000015" w14:textId="60CBC80E" w:rsidR="00493C75" w:rsidRPr="00CF1CF6" w:rsidRDefault="00151F3E" w:rsidP="00446AEA">
      <w:pPr>
        <w:pStyle w:val="Style2"/>
        <w:rPr>
          <w:sz w:val="22"/>
          <w:szCs w:val="22"/>
        </w:rPr>
      </w:pPr>
      <w:r w:rsidRPr="00CF1CF6">
        <w:rPr>
          <w:sz w:val="22"/>
          <w:szCs w:val="22"/>
        </w:rPr>
        <w:t>3.6. Médiateurs et modérateurs biologiques</w:t>
      </w:r>
    </w:p>
    <w:p w14:paraId="00000016" w14:textId="77777777" w:rsidR="00493C75" w:rsidRPr="00CF1CF6" w:rsidRDefault="00000000">
      <w:pPr>
        <w:spacing w:after="160"/>
        <w:jc w:val="both"/>
        <w:rPr>
          <w:sz w:val="20"/>
          <w:szCs w:val="20"/>
        </w:rPr>
      </w:pPr>
      <w:r w:rsidRPr="00CF1CF6">
        <w:rPr>
          <w:sz w:val="20"/>
          <w:szCs w:val="20"/>
        </w:rPr>
        <w:t>Dans les essais sur l'ayahuasca, l'amélioration antidépressive s'accompagne d'une augmentation du BDNF sérique (corrélée négativement avec les scores à l'échelle Montgomery-</w:t>
      </w:r>
      <w:proofErr w:type="spellStart"/>
      <w:r w:rsidRPr="00CF1CF6">
        <w:rPr>
          <w:sz w:val="20"/>
          <w:szCs w:val="20"/>
        </w:rPr>
        <w:t>Åsberg</w:t>
      </w:r>
      <w:proofErr w:type="spellEnd"/>
      <w:r w:rsidRPr="00CF1CF6">
        <w:rPr>
          <w:sz w:val="20"/>
          <w:szCs w:val="20"/>
        </w:rPr>
        <w:t xml:space="preserve"> </w:t>
      </w:r>
      <w:proofErr w:type="spellStart"/>
      <w:r w:rsidRPr="00CF1CF6">
        <w:rPr>
          <w:sz w:val="20"/>
          <w:szCs w:val="20"/>
        </w:rPr>
        <w:t>Depression</w:t>
      </w:r>
      <w:proofErr w:type="spellEnd"/>
      <w:r w:rsidRPr="00CF1CF6">
        <w:rPr>
          <w:sz w:val="20"/>
          <w:szCs w:val="20"/>
        </w:rPr>
        <w:t xml:space="preserve"> Rating Scale [MADRS] chez les patients traités, mais pas sous placebo), d'une réduction de la CRP (dont l'ampleur corrèle avec l'amélioration symptomatique), et d'une renormalisation de l'axe </w:t>
      </w:r>
      <w:proofErr w:type="spellStart"/>
      <w:r w:rsidRPr="00CF1CF6">
        <w:rPr>
          <w:sz w:val="20"/>
          <w:szCs w:val="20"/>
        </w:rPr>
        <w:t>hypothalamo</w:t>
      </w:r>
      <w:proofErr w:type="spellEnd"/>
      <w:r w:rsidRPr="00CF1CF6">
        <w:rPr>
          <w:sz w:val="20"/>
          <w:szCs w:val="20"/>
        </w:rPr>
        <w:t>-</w:t>
      </w:r>
      <w:proofErr w:type="spellStart"/>
      <w:r w:rsidRPr="00CF1CF6">
        <w:rPr>
          <w:sz w:val="20"/>
          <w:szCs w:val="20"/>
        </w:rPr>
        <w:t>hypophyso</w:t>
      </w:r>
      <w:proofErr w:type="spellEnd"/>
      <w:r w:rsidRPr="00CF1CF6">
        <w:rPr>
          <w:sz w:val="20"/>
          <w:szCs w:val="20"/>
        </w:rPr>
        <w:t xml:space="preserve">-surrénalien (HHS), sans modification significative de l'IL-6. Une relation en U inversé est observée entre l'activation </w:t>
      </w:r>
      <w:proofErr w:type="spellStart"/>
      <w:r w:rsidRPr="00CF1CF6">
        <w:rPr>
          <w:sz w:val="20"/>
          <w:szCs w:val="20"/>
        </w:rPr>
        <w:t>cortisolique</w:t>
      </w:r>
      <w:proofErr w:type="spellEnd"/>
      <w:r w:rsidRPr="00CF1CF6">
        <w:rPr>
          <w:sz w:val="20"/>
          <w:szCs w:val="20"/>
        </w:rPr>
        <w:t xml:space="preserve"> intra-séance et le BDNF à 48 heures, suggérant qu'une activation modérée (et non excessive) du stress optimise la récupération neurotrophique. L'intensité hallucinatoire globale ne module aucun de ces marqueurs biologiques.</w:t>
      </w:r>
    </w:p>
    <w:p w14:paraId="00000017" w14:textId="55C73E83" w:rsidR="00493C75" w:rsidRPr="00CF1CF6" w:rsidRDefault="00151F3E" w:rsidP="00446AEA">
      <w:pPr>
        <w:pStyle w:val="Style2"/>
        <w:rPr>
          <w:sz w:val="22"/>
          <w:szCs w:val="22"/>
        </w:rPr>
      </w:pPr>
      <w:r w:rsidRPr="00CF1CF6">
        <w:rPr>
          <w:sz w:val="22"/>
          <w:szCs w:val="22"/>
        </w:rPr>
        <w:t>3.7. Médiateurs cognitifs et processuels</w:t>
      </w:r>
    </w:p>
    <w:p w14:paraId="00000018" w14:textId="77777777" w:rsidR="00493C75" w:rsidRPr="00CF1CF6" w:rsidRDefault="00000000">
      <w:pPr>
        <w:spacing w:after="160"/>
        <w:jc w:val="both"/>
        <w:rPr>
          <w:sz w:val="20"/>
          <w:szCs w:val="20"/>
        </w:rPr>
      </w:pPr>
      <w:r w:rsidRPr="00CF1CF6">
        <w:rPr>
          <w:sz w:val="20"/>
          <w:szCs w:val="20"/>
        </w:rPr>
        <w:t>La réduction de l'évitement expérientiel constitue le conduit processuel le plus robuste reliant l'expérience aiguë au changement clinique, avec des corrélations retrouvées de façon constante entre cohortes cliniques et naturalistes. Un essai comparatif psilocybine/</w:t>
      </w:r>
      <w:proofErr w:type="spellStart"/>
      <w:r w:rsidRPr="00CF1CF6">
        <w:rPr>
          <w:sz w:val="20"/>
          <w:szCs w:val="20"/>
        </w:rPr>
        <w:t>escitalopram</w:t>
      </w:r>
      <w:proofErr w:type="spellEnd"/>
      <w:r w:rsidRPr="00CF1CF6">
        <w:rPr>
          <w:sz w:val="20"/>
          <w:szCs w:val="20"/>
        </w:rPr>
        <w:t xml:space="preserve"> démontre une médiation formelle : la diminution de l'évitement expérientiel médie l'amélioration dépressive, du bien-être et de l'anxiété sous psilocybine, mais pas sous ISRS. La psilocybine réduit également plus fortement les ruminations et la suppression de pensées, ces dernières n'étant réduites que chez les répondeurs à la psilocybine. La dissolution du moi et l'insight psychologique prédisent ces gains cognitifs.</w:t>
      </w:r>
    </w:p>
    <w:p w14:paraId="00000019" w14:textId="00865AEA" w:rsidR="00493C75" w:rsidRPr="00CF1CF6" w:rsidRDefault="00151F3E" w:rsidP="00446AEA">
      <w:pPr>
        <w:pStyle w:val="Style2"/>
        <w:rPr>
          <w:sz w:val="22"/>
          <w:szCs w:val="22"/>
        </w:rPr>
      </w:pPr>
      <w:r w:rsidRPr="00CF1CF6">
        <w:rPr>
          <w:sz w:val="22"/>
          <w:szCs w:val="22"/>
        </w:rPr>
        <w:t>3.8. Changements de personnalité et lien avec l'issue clinique</w:t>
      </w:r>
    </w:p>
    <w:p w14:paraId="0000001A" w14:textId="77777777" w:rsidR="00493C75" w:rsidRPr="00CF1CF6" w:rsidRDefault="00000000">
      <w:pPr>
        <w:spacing w:after="160"/>
        <w:jc w:val="both"/>
        <w:rPr>
          <w:sz w:val="20"/>
          <w:szCs w:val="20"/>
        </w:rPr>
      </w:pPr>
      <w:r w:rsidRPr="00CF1CF6">
        <w:rPr>
          <w:sz w:val="20"/>
          <w:szCs w:val="20"/>
        </w:rPr>
        <w:t xml:space="preserve">La psilocybine est associée à une diminution du névrosisme et à une augmentation de l'extraversion, de l'ouverture et de la conscienciosité, changements plus marqués que sous </w:t>
      </w:r>
      <w:proofErr w:type="spellStart"/>
      <w:r w:rsidRPr="00CF1CF6">
        <w:rPr>
          <w:sz w:val="20"/>
          <w:szCs w:val="20"/>
        </w:rPr>
        <w:t>escitalopram</w:t>
      </w:r>
      <w:proofErr w:type="spellEnd"/>
      <w:r w:rsidRPr="00CF1CF6">
        <w:rPr>
          <w:sz w:val="20"/>
          <w:szCs w:val="20"/>
        </w:rPr>
        <w:t>. L'insight lors de la séance prédit la réduction du névrosisme et l'augmentation de l'extraversion. Contrairement à l'</w:t>
      </w:r>
      <w:proofErr w:type="spellStart"/>
      <w:r w:rsidRPr="00CF1CF6">
        <w:rPr>
          <w:sz w:val="20"/>
          <w:szCs w:val="20"/>
        </w:rPr>
        <w:t>escitalopram</w:t>
      </w:r>
      <w:proofErr w:type="spellEnd"/>
      <w:r w:rsidRPr="00CF1CF6">
        <w:rPr>
          <w:sz w:val="20"/>
          <w:szCs w:val="20"/>
        </w:rPr>
        <w:t>, dont les changements de personnalité sont modulés par l'attente du traitement, ceux liés à la psilocybine n'en dépendent pas.</w:t>
      </w:r>
    </w:p>
    <w:p w14:paraId="0000001B" w14:textId="5482CD92" w:rsidR="00493C75" w:rsidRPr="00CF1CF6" w:rsidRDefault="00151F3E" w:rsidP="00446AEA">
      <w:pPr>
        <w:pStyle w:val="Style2"/>
        <w:rPr>
          <w:sz w:val="22"/>
          <w:szCs w:val="22"/>
        </w:rPr>
      </w:pPr>
      <w:r w:rsidRPr="00CF1CF6">
        <w:rPr>
          <w:sz w:val="22"/>
          <w:szCs w:val="22"/>
        </w:rPr>
        <w:t>3.9. Données naturalistes et populationnelles</w:t>
      </w:r>
    </w:p>
    <w:p w14:paraId="0000001C" w14:textId="77777777" w:rsidR="00493C75" w:rsidRPr="00CF1CF6" w:rsidRDefault="00000000">
      <w:pPr>
        <w:spacing w:after="160"/>
        <w:jc w:val="both"/>
        <w:rPr>
          <w:sz w:val="20"/>
          <w:szCs w:val="20"/>
        </w:rPr>
      </w:pPr>
      <w:r w:rsidRPr="00CF1CF6">
        <w:rPr>
          <w:sz w:val="20"/>
          <w:szCs w:val="20"/>
        </w:rPr>
        <w:t xml:space="preserve">Dans les cohortes prospectives et les enquêtes de grande ampleur (jusqu'à 2510 participants), les symptômes dépressifs (Patient Health Questionnaire-9 [PHQ-9], QIDS) diminuent rapidement et substantiellement. Des facteurs « transformationnel/mystique », de régulation émotionnelle/physique et de motivation </w:t>
      </w:r>
      <w:proofErr w:type="spellStart"/>
      <w:r w:rsidRPr="00CF1CF6">
        <w:rPr>
          <w:sz w:val="20"/>
          <w:szCs w:val="20"/>
        </w:rPr>
        <w:t>pro-sociale</w:t>
      </w:r>
      <w:proofErr w:type="spellEnd"/>
      <w:r w:rsidRPr="00CF1CF6">
        <w:rPr>
          <w:sz w:val="20"/>
          <w:szCs w:val="20"/>
        </w:rPr>
        <w:t xml:space="preserve"> expliquent conjointement environ 60 % de la variance et prédisent indépendamment la réduction de la dépression et de l'anxiété. Les effets indésirables (rapportés par environ 13 % des participants) atténuent le bénéfice lorsqu'ils surviennent.</w:t>
      </w:r>
    </w:p>
    <w:p w14:paraId="0000001D" w14:textId="7DCA4C87" w:rsidR="00493C75" w:rsidRPr="00CF1CF6" w:rsidRDefault="00151F3E" w:rsidP="00446AEA">
      <w:pPr>
        <w:pStyle w:val="Style2"/>
        <w:rPr>
          <w:sz w:val="22"/>
          <w:szCs w:val="22"/>
        </w:rPr>
      </w:pPr>
      <w:r w:rsidRPr="00CF1CF6">
        <w:rPr>
          <w:sz w:val="22"/>
          <w:szCs w:val="22"/>
        </w:rPr>
        <w:t>3.10. Essais sur l'ayahuasca : effets cliniques et signaux mécanistiques</w:t>
      </w:r>
    </w:p>
    <w:p w14:paraId="0000001E" w14:textId="77777777" w:rsidR="00493C75" w:rsidRPr="00CF1CF6" w:rsidRDefault="00000000">
      <w:pPr>
        <w:spacing w:after="160"/>
        <w:jc w:val="both"/>
        <w:rPr>
          <w:sz w:val="20"/>
          <w:szCs w:val="20"/>
        </w:rPr>
      </w:pPr>
      <w:r w:rsidRPr="00CF1CF6">
        <w:rPr>
          <w:sz w:val="20"/>
          <w:szCs w:val="20"/>
        </w:rPr>
        <w:t xml:space="preserve">Une séance unique d'ayahuasca produit des effets antidépresseurs rapides (taux de réponse de 64 % versus 27 % sous placebo à J7), accompagnés de modifications neurotrophiques (augmentation du BDNF), anti-inflammatoires (diminution de la CRP) et de l'axe HHS (normalisation de la réponse </w:t>
      </w:r>
      <w:proofErr w:type="spellStart"/>
      <w:r w:rsidRPr="00CF1CF6">
        <w:rPr>
          <w:sz w:val="20"/>
          <w:szCs w:val="20"/>
        </w:rPr>
        <w:t>cortisolique</w:t>
      </w:r>
      <w:proofErr w:type="spellEnd"/>
      <w:r w:rsidRPr="00CF1CF6">
        <w:rPr>
          <w:sz w:val="20"/>
          <w:szCs w:val="20"/>
        </w:rPr>
        <w:t xml:space="preserve"> du réveil), sans changement de l'IL-6.</w:t>
      </w:r>
    </w:p>
    <w:p w14:paraId="0000001F" w14:textId="22488289" w:rsidR="00493C75" w:rsidRPr="00CF1CF6" w:rsidRDefault="00151F3E" w:rsidP="00151F3E">
      <w:pPr>
        <w:pStyle w:val="Style2"/>
        <w:rPr>
          <w:b w:val="0"/>
          <w:bCs w:val="0"/>
          <w:sz w:val="22"/>
          <w:szCs w:val="22"/>
        </w:rPr>
      </w:pPr>
      <w:r w:rsidRPr="00CF1CF6">
        <w:rPr>
          <w:rStyle w:val="Style2Car"/>
          <w:b/>
          <w:bCs/>
          <w:sz w:val="22"/>
          <w:szCs w:val="22"/>
        </w:rPr>
        <w:t>3.11. Signaux globaux d'efficacité clinique (contexte des modérateurs</w:t>
      </w:r>
      <w:r w:rsidRPr="00CF1CF6">
        <w:rPr>
          <w:b w:val="0"/>
          <w:bCs w:val="0"/>
          <w:sz w:val="22"/>
          <w:szCs w:val="22"/>
        </w:rPr>
        <w:t>)</w:t>
      </w:r>
    </w:p>
    <w:p w14:paraId="00000020" w14:textId="616DEE4B" w:rsidR="00493C75" w:rsidRPr="00CF1CF6" w:rsidRDefault="00000000">
      <w:pPr>
        <w:spacing w:after="160"/>
        <w:jc w:val="both"/>
        <w:rPr>
          <w:sz w:val="20"/>
          <w:szCs w:val="20"/>
        </w:rPr>
      </w:pPr>
      <w:r w:rsidRPr="00CF1CF6">
        <w:rPr>
          <w:sz w:val="20"/>
          <w:szCs w:val="20"/>
        </w:rPr>
        <w:t>Les essais modernes rapportent des effets antidépresseurs amples, rapides et souvent durables</w:t>
      </w:r>
      <w:r w:rsidR="00446AEA" w:rsidRPr="00CF1CF6">
        <w:rPr>
          <w:sz w:val="20"/>
          <w:szCs w:val="20"/>
        </w:rPr>
        <w:t xml:space="preserve">, </w:t>
      </w:r>
      <w:r w:rsidRPr="00CF1CF6">
        <w:rPr>
          <w:sz w:val="20"/>
          <w:szCs w:val="20"/>
        </w:rPr>
        <w:t>tant dans la DRT que dans le trouble dépressif majeur et la détresse liée au cancer, constituant la toile de fond sur laquelle opèrent les prédicteurs et modérateurs décrits.</w:t>
      </w:r>
    </w:p>
    <w:p w14:paraId="00000021" w14:textId="56E3D746" w:rsidR="00493C75" w:rsidRPr="00CF1CF6" w:rsidRDefault="00151F3E" w:rsidP="00446AEA">
      <w:pPr>
        <w:pStyle w:val="Style2"/>
        <w:rPr>
          <w:sz w:val="22"/>
          <w:szCs w:val="22"/>
        </w:rPr>
      </w:pPr>
      <w:r w:rsidRPr="00CF1CF6">
        <w:rPr>
          <w:sz w:val="22"/>
          <w:szCs w:val="22"/>
        </w:rPr>
        <w:t>3.12. Résultats en imagerie par résonance magnétique fonctionnelle (IRMf)</w:t>
      </w:r>
    </w:p>
    <w:p w14:paraId="00000022" w14:textId="77777777" w:rsidR="00493C75" w:rsidRPr="00CF1CF6" w:rsidRDefault="00000000">
      <w:pPr>
        <w:spacing w:after="160"/>
        <w:jc w:val="both"/>
        <w:rPr>
          <w:sz w:val="20"/>
          <w:szCs w:val="20"/>
        </w:rPr>
      </w:pPr>
      <w:r w:rsidRPr="00CF1CF6">
        <w:rPr>
          <w:sz w:val="20"/>
          <w:szCs w:val="20"/>
        </w:rPr>
        <w:t xml:space="preserve">Neuf études convergent vers un profil de « </w:t>
      </w:r>
      <w:proofErr w:type="spellStart"/>
      <w:r w:rsidRPr="00CF1CF6">
        <w:rPr>
          <w:sz w:val="20"/>
          <w:szCs w:val="20"/>
        </w:rPr>
        <w:t>désegmentation</w:t>
      </w:r>
      <w:proofErr w:type="spellEnd"/>
      <w:r w:rsidRPr="00CF1CF6">
        <w:rPr>
          <w:sz w:val="20"/>
          <w:szCs w:val="20"/>
        </w:rPr>
        <w:t xml:space="preserve"> » cérébrale post-psilocybine : diminution du débit sanguin cérébral amygdalien (corrélée à l'amélioration symptomatique), augmentation de l'intégrité du réseau du mode par défaut (Default Mode Network, DMN) prédisant la réponse soutenue à 5 semaines, diminution de la modularité cérébrale globale (intégration accrue) prédisant l'amélioration jusqu'à 6 mois, et reconfigurations hiérarchiques opposées entre psilocybine (aplatissement) et </w:t>
      </w:r>
      <w:proofErr w:type="spellStart"/>
      <w:r w:rsidRPr="00CF1CF6">
        <w:rPr>
          <w:sz w:val="20"/>
          <w:szCs w:val="20"/>
        </w:rPr>
        <w:t>escitalopram</w:t>
      </w:r>
      <w:proofErr w:type="spellEnd"/>
      <w:r w:rsidRPr="00CF1CF6">
        <w:rPr>
          <w:sz w:val="20"/>
          <w:szCs w:val="20"/>
        </w:rPr>
        <w:t xml:space="preserve"> (renforcement de la hiérarchie). La connectivité fonctionnelle de base (réseaux visuel, exécutif, de saillance) permet de prédire la réponse précoce et tardive avec des précisions atteignant 90 %. Les régions présentant le plus fort « potentiel de transition » chez les répondeurs corrèlent avec la densité des récepteurs 5-HT2A et 5-HT1A.</w:t>
      </w:r>
    </w:p>
    <w:p w14:paraId="00000023" w14:textId="3FDB8118" w:rsidR="00493C75" w:rsidRPr="00CF1CF6" w:rsidRDefault="00151F3E" w:rsidP="00446AEA">
      <w:pPr>
        <w:pStyle w:val="Style2"/>
        <w:rPr>
          <w:sz w:val="22"/>
          <w:szCs w:val="22"/>
        </w:rPr>
      </w:pPr>
      <w:r w:rsidRPr="00CF1CF6">
        <w:rPr>
          <w:sz w:val="22"/>
          <w:szCs w:val="22"/>
        </w:rPr>
        <w:lastRenderedPageBreak/>
        <w:t>3.13. Résultats électroencéphalographiques (EEG)</w:t>
      </w:r>
    </w:p>
    <w:p w14:paraId="604B91EF" w14:textId="557D2A51" w:rsidR="00E807A6" w:rsidRPr="00CF1CF6" w:rsidRDefault="00000000" w:rsidP="00C4161A">
      <w:pPr>
        <w:spacing w:after="160"/>
        <w:jc w:val="both"/>
        <w:rPr>
          <w:sz w:val="20"/>
          <w:szCs w:val="20"/>
        </w:rPr>
      </w:pPr>
      <w:r w:rsidRPr="00CF1CF6">
        <w:rPr>
          <w:sz w:val="20"/>
          <w:szCs w:val="20"/>
        </w:rPr>
        <w:t>Une augmentation de la puissance thêta évoquée auditivement, mesurée deux semaines après la psilocybine, corrèle négativement avec la sévérité dépressive (coefficient de corrélation de rang de Spearman ρ = −0,57), suggérant une signature électrophysiologique retardée de la réparation synaptique.</w:t>
      </w:r>
    </w:p>
    <w:p w14:paraId="00000025" w14:textId="511E7850" w:rsidR="00493C75" w:rsidRPr="00CF1CF6" w:rsidRDefault="00151F3E" w:rsidP="00E807A6">
      <w:pPr>
        <w:pStyle w:val="Style1"/>
      </w:pPr>
      <w:r w:rsidRPr="00CF1CF6">
        <w:t>4</w:t>
      </w:r>
      <w:r w:rsidR="00E807A6" w:rsidRPr="00CF1CF6">
        <w:t>. DISCUSSION</w:t>
      </w:r>
    </w:p>
    <w:p w14:paraId="00000026" w14:textId="77777777" w:rsidR="00493C75" w:rsidRPr="00CF1CF6" w:rsidRDefault="00000000">
      <w:pPr>
        <w:spacing w:after="160"/>
        <w:jc w:val="both"/>
        <w:rPr>
          <w:sz w:val="20"/>
          <w:szCs w:val="20"/>
        </w:rPr>
      </w:pPr>
      <w:r w:rsidRPr="00CF1CF6">
        <w:rPr>
          <w:sz w:val="20"/>
          <w:szCs w:val="20"/>
        </w:rPr>
        <w:t xml:space="preserve">Les auteurs proposent une lecture mécanistique intégrée reliant pharmacologie </w:t>
      </w:r>
      <w:proofErr w:type="spellStart"/>
      <w:r w:rsidRPr="00CF1CF6">
        <w:rPr>
          <w:sz w:val="20"/>
          <w:szCs w:val="20"/>
        </w:rPr>
        <w:t>réceptorielle</w:t>
      </w:r>
      <w:proofErr w:type="spellEnd"/>
      <w:r w:rsidRPr="00CF1CF6">
        <w:rPr>
          <w:sz w:val="20"/>
          <w:szCs w:val="20"/>
        </w:rPr>
        <w:t>, dynamique cérébrale systémique et théories de l'apprentissage émotionnel. L'activation des récepteurs 5-HT2A est le déclencheur canonique des effets psychédéliques, mais le contenu expérientiel (dissolution océanique, insight) prédit mieux l'issue clinique que l'intensité sensorielle brute. Sur le plan systémique, les psychédéliques relâchent transitoirement les a priori de haut niveau et augmentent la flexibilité des réseaux cérébraux (modèles REBUS</w:t>
      </w:r>
      <w:proofErr w:type="gramStart"/>
      <w:r w:rsidRPr="00CF1CF6">
        <w:rPr>
          <w:sz w:val="20"/>
          <w:szCs w:val="20"/>
        </w:rPr>
        <w:t>/«</w:t>
      </w:r>
      <w:proofErr w:type="gramEnd"/>
      <w:r w:rsidRPr="00CF1CF6">
        <w:rPr>
          <w:sz w:val="20"/>
          <w:szCs w:val="20"/>
        </w:rPr>
        <w:t xml:space="preserve"> cerveau anarchique »), la dissolution du moi étant liée à un découplage du DMN favorisant le changement de perspective.</w:t>
      </w:r>
    </w:p>
    <w:p w14:paraId="00000027" w14:textId="53ED8DD9" w:rsidR="00493C75" w:rsidRPr="00CF1CF6" w:rsidRDefault="00000000">
      <w:pPr>
        <w:spacing w:after="160"/>
        <w:jc w:val="both"/>
        <w:rPr>
          <w:sz w:val="20"/>
          <w:szCs w:val="20"/>
        </w:rPr>
      </w:pPr>
      <w:r w:rsidRPr="00CF1CF6">
        <w:rPr>
          <w:sz w:val="20"/>
          <w:szCs w:val="20"/>
        </w:rPr>
        <w:t xml:space="preserve">L'irruption émotionnelle correspond à un processus spécifique </w:t>
      </w:r>
      <w:r w:rsidR="00E807A6" w:rsidRPr="00CF1CF6">
        <w:rPr>
          <w:sz w:val="20"/>
          <w:szCs w:val="20"/>
        </w:rPr>
        <w:t>-</w:t>
      </w:r>
      <w:r w:rsidRPr="00CF1CF6">
        <w:rPr>
          <w:sz w:val="20"/>
          <w:szCs w:val="20"/>
        </w:rPr>
        <w:t xml:space="preserve"> l'approche d'un affect évité et l'émergence d'un sens exploitable </w:t>
      </w:r>
      <w:r w:rsidR="00E807A6" w:rsidRPr="00CF1CF6">
        <w:rPr>
          <w:sz w:val="20"/>
          <w:szCs w:val="20"/>
        </w:rPr>
        <w:t>-</w:t>
      </w:r>
      <w:r w:rsidRPr="00CF1CF6">
        <w:rPr>
          <w:sz w:val="20"/>
          <w:szCs w:val="20"/>
        </w:rPr>
        <w:t xml:space="preserve"> qui recoupe les mécanismes de changement établis en sciences cliniques (apprentissage inhibiteur en thérapie d'exposition, mise à jour par reconsolidation mnésique). L'engagement musical thérapeutique amplifie l'émotion et l'imagerie évoquées, module la connectivité parahippocampique/limbique et pourrait servir d'échafaudage à l'irruption émotionnelle et à l'insight.</w:t>
      </w:r>
    </w:p>
    <w:p w14:paraId="00000028" w14:textId="40D07C14" w:rsidR="00493C75" w:rsidRPr="00CF1CF6" w:rsidRDefault="00000000">
      <w:pPr>
        <w:spacing w:after="160"/>
        <w:jc w:val="both"/>
        <w:rPr>
          <w:sz w:val="20"/>
          <w:szCs w:val="20"/>
        </w:rPr>
      </w:pPr>
      <w:r w:rsidRPr="00CF1CF6">
        <w:rPr>
          <w:sz w:val="20"/>
          <w:szCs w:val="20"/>
        </w:rPr>
        <w:t>L'asymétrie observée entre attente (prédictive sous ISRS mais non sous psilocybine) et suggestibilité (modératrice spécifique du bénéfice psychédélique) s'explique par les modèles contemporains de neurobiologie placebo/nocebo et de traitement prédictif : les états psychédéliques macrodosés, dominés par un afflux affectif ascendant sous a priori relâchés, réduisent la pondération précise des croyances abstraites préalables, tandis que la suggestibilité indexe une capacité à intégrer les suggestions contextuelles (cadrage thérapeutique, musique)</w:t>
      </w:r>
      <w:r w:rsidR="00E807A6" w:rsidRPr="00CF1CF6">
        <w:rPr>
          <w:sz w:val="20"/>
          <w:szCs w:val="20"/>
        </w:rPr>
        <w:t> ;</w:t>
      </w:r>
      <w:r w:rsidRPr="00CF1CF6">
        <w:rPr>
          <w:sz w:val="20"/>
          <w:szCs w:val="20"/>
        </w:rPr>
        <w:t xml:space="preserve"> précisément le levier psychologique que la plasticité induite par la psilocybine rend disponible.</w:t>
      </w:r>
    </w:p>
    <w:p w14:paraId="00000029" w14:textId="77777777" w:rsidR="00493C75" w:rsidRPr="00CF1CF6" w:rsidRDefault="00000000">
      <w:pPr>
        <w:spacing w:after="160"/>
        <w:jc w:val="both"/>
        <w:rPr>
          <w:sz w:val="20"/>
          <w:szCs w:val="20"/>
        </w:rPr>
      </w:pPr>
      <w:r w:rsidRPr="00CF1CF6">
        <w:rPr>
          <w:sz w:val="20"/>
          <w:szCs w:val="20"/>
        </w:rPr>
        <w:t>L'atténuation du bénéfice en cas de TSPT comorbide s'expliquerait par des altérations spécifiques de l'apprentissage de la peur (hyperréactivité amygdalienne, hypoactivité du cortex préfrontal ventromédian, déficit d'inhibition de l'extinction), qui pourraient contraindre la capacité de « lâcher-prise » et de traitement émotionnel pendant la fenêtre de dosage, malgré le potentiel pro-plastique de l'</w:t>
      </w:r>
      <w:proofErr w:type="spellStart"/>
      <w:r w:rsidRPr="00CF1CF6">
        <w:rPr>
          <w:sz w:val="20"/>
          <w:szCs w:val="20"/>
        </w:rPr>
        <w:t>agonisme</w:t>
      </w:r>
      <w:proofErr w:type="spellEnd"/>
      <w:r w:rsidRPr="00CF1CF6">
        <w:rPr>
          <w:sz w:val="20"/>
          <w:szCs w:val="20"/>
        </w:rPr>
        <w:t xml:space="preserve"> 5-HT2A sur les circuits d'actualisation de la peur.</w:t>
      </w:r>
    </w:p>
    <w:p w14:paraId="0000002A" w14:textId="533F59DF" w:rsidR="00493C75" w:rsidRPr="00CF1CF6" w:rsidRDefault="00000000">
      <w:pPr>
        <w:spacing w:after="160"/>
        <w:jc w:val="both"/>
        <w:rPr>
          <w:sz w:val="20"/>
          <w:szCs w:val="20"/>
        </w:rPr>
      </w:pPr>
      <w:r w:rsidRPr="00CF1CF6">
        <w:rPr>
          <w:sz w:val="20"/>
          <w:szCs w:val="20"/>
        </w:rPr>
        <w:t xml:space="preserve">Les conduits processuels les plus fiables </w:t>
      </w:r>
      <w:r w:rsidR="00E807A6" w:rsidRPr="00CF1CF6">
        <w:rPr>
          <w:sz w:val="20"/>
          <w:szCs w:val="20"/>
        </w:rPr>
        <w:t>-</w:t>
      </w:r>
      <w:r w:rsidRPr="00CF1CF6">
        <w:rPr>
          <w:sz w:val="20"/>
          <w:szCs w:val="20"/>
        </w:rPr>
        <w:t xml:space="preserve"> diminution de l'évitement expérientiel, augmentation de la flexibilité psychologique et de la connectivité sociale, réduction des ruminations et de la suppression de pensées </w:t>
      </w:r>
      <w:r w:rsidR="00E807A6" w:rsidRPr="00CF1CF6">
        <w:rPr>
          <w:sz w:val="20"/>
          <w:szCs w:val="20"/>
        </w:rPr>
        <w:t xml:space="preserve">- </w:t>
      </w:r>
      <w:r w:rsidRPr="00CF1CF6">
        <w:rPr>
          <w:sz w:val="20"/>
          <w:szCs w:val="20"/>
        </w:rPr>
        <w:t xml:space="preserve">s'inscrivent dans des mécanismes </w:t>
      </w:r>
      <w:proofErr w:type="spellStart"/>
      <w:r w:rsidRPr="00CF1CF6">
        <w:rPr>
          <w:sz w:val="20"/>
          <w:szCs w:val="20"/>
        </w:rPr>
        <w:t>transdiagnostiques</w:t>
      </w:r>
      <w:proofErr w:type="spellEnd"/>
      <w:r w:rsidRPr="00CF1CF6">
        <w:rPr>
          <w:sz w:val="20"/>
          <w:szCs w:val="20"/>
        </w:rPr>
        <w:t xml:space="preserve"> bien établis en sciences cliniques, et pourraient refléter, sur le plan neural, un relâchement transitoire des boucles autoréférentielles dominées par le DMN.</w:t>
      </w:r>
    </w:p>
    <w:p w14:paraId="0000002B" w14:textId="77777777" w:rsidR="00493C75" w:rsidRPr="00CF1CF6" w:rsidRDefault="00000000">
      <w:pPr>
        <w:spacing w:after="160"/>
        <w:jc w:val="both"/>
        <w:rPr>
          <w:sz w:val="20"/>
          <w:szCs w:val="20"/>
        </w:rPr>
      </w:pPr>
      <w:r w:rsidRPr="00CF1CF6">
        <w:rPr>
          <w:sz w:val="20"/>
          <w:szCs w:val="20"/>
        </w:rPr>
        <w:t>Les données biologiques issues des essais sur l'ayahuasca (augmentation du BDNF, diminution de la CRP, re-régulation de l'axe HHS, IL-6 inchangée) s'articulent avec un mécanisme cohérent multi-niveaux reliant la pharmacologie 5-HT2A/</w:t>
      </w:r>
      <w:proofErr w:type="spellStart"/>
      <w:r w:rsidRPr="00CF1CF6">
        <w:rPr>
          <w:sz w:val="20"/>
          <w:szCs w:val="20"/>
        </w:rPr>
        <w:t>tryptaminergique</w:t>
      </w:r>
      <w:proofErr w:type="spellEnd"/>
      <w:r w:rsidRPr="00CF1CF6">
        <w:rPr>
          <w:sz w:val="20"/>
          <w:szCs w:val="20"/>
        </w:rPr>
        <w:t xml:space="preserve"> à la plasticité synaptique, à la physiologie du stress et au tonus immunitaire ; la relation en U inversé entre l'activation </w:t>
      </w:r>
      <w:proofErr w:type="spellStart"/>
      <w:r w:rsidRPr="00CF1CF6">
        <w:rPr>
          <w:sz w:val="20"/>
          <w:szCs w:val="20"/>
        </w:rPr>
        <w:t>cortisolique</w:t>
      </w:r>
      <w:proofErr w:type="spellEnd"/>
      <w:r w:rsidRPr="00CF1CF6">
        <w:rPr>
          <w:sz w:val="20"/>
          <w:szCs w:val="20"/>
        </w:rPr>
        <w:t xml:space="preserve"> aiguë et le gain en BDNF rejoint la littérature classique sur l'apprentissage dépendant du stress.</w:t>
      </w:r>
    </w:p>
    <w:p w14:paraId="0000002C" w14:textId="59841AE9" w:rsidR="00493C75" w:rsidRPr="00CF1CF6" w:rsidRDefault="00000000">
      <w:pPr>
        <w:spacing w:after="160"/>
        <w:jc w:val="both"/>
        <w:rPr>
          <w:sz w:val="20"/>
          <w:szCs w:val="20"/>
        </w:rPr>
      </w:pPr>
      <w:r w:rsidRPr="00CF1CF6">
        <w:rPr>
          <w:sz w:val="20"/>
          <w:szCs w:val="20"/>
        </w:rPr>
        <w:t>Au niveau des grands réseaux, la diminution de la modularité et l'augmentation de la flexibilité dynamique post-traitement s'inscrivent dans le cadre du modèle du « cerveau entropique » et de la théorie du contrôle par réseau informée par les récepteurs, selon laquelle la stimulation du cortex riche en 5-HT2A aplatit le paysage énergétique cérébral, facilitant les transitions entre états de réseau</w:t>
      </w:r>
      <w:r w:rsidR="00151F3E" w:rsidRPr="00CF1CF6">
        <w:rPr>
          <w:sz w:val="20"/>
          <w:szCs w:val="20"/>
        </w:rPr>
        <w:t xml:space="preserve"> ; </w:t>
      </w:r>
      <w:r w:rsidRPr="00CF1CF6">
        <w:rPr>
          <w:sz w:val="20"/>
          <w:szCs w:val="20"/>
        </w:rPr>
        <w:t xml:space="preserve">un mécanisme cohérent avec l'augmentation retardée de la puissance thêta, lue comme la signature systémique tardive d'une réparation synaptique et d'un </w:t>
      </w:r>
      <w:proofErr w:type="spellStart"/>
      <w:r w:rsidRPr="00CF1CF6">
        <w:rPr>
          <w:sz w:val="20"/>
          <w:szCs w:val="20"/>
        </w:rPr>
        <w:t>recouplage</w:t>
      </w:r>
      <w:proofErr w:type="spellEnd"/>
      <w:r w:rsidRPr="00CF1CF6">
        <w:rPr>
          <w:sz w:val="20"/>
          <w:szCs w:val="20"/>
        </w:rPr>
        <w:t xml:space="preserve"> cortico-hippocampique.</w:t>
      </w:r>
    </w:p>
    <w:p w14:paraId="00000030" w14:textId="58EB4EAE" w:rsidR="00493C75" w:rsidRPr="00CF1CF6" w:rsidRDefault="00151F3E" w:rsidP="00151F3E">
      <w:pPr>
        <w:pStyle w:val="Style1"/>
      </w:pPr>
      <w:r w:rsidRPr="00CF1CF6">
        <w:t>5. CONCLUSION</w:t>
      </w:r>
    </w:p>
    <w:p w14:paraId="00000031" w14:textId="0CFBA4AD" w:rsidR="00493C75" w:rsidRPr="00CF1CF6" w:rsidRDefault="00000000">
      <w:pPr>
        <w:spacing w:after="160"/>
        <w:jc w:val="both"/>
        <w:rPr>
          <w:sz w:val="20"/>
          <w:szCs w:val="20"/>
        </w:rPr>
      </w:pPr>
      <w:r w:rsidRPr="00CF1CF6">
        <w:rPr>
          <w:sz w:val="20"/>
          <w:szCs w:val="20"/>
        </w:rPr>
        <w:t>Cette revue exploratoire indique que ce sont les caractéristiques processuelles de la séance psychédélique aiguë</w:t>
      </w:r>
      <w:r w:rsidR="00151F3E" w:rsidRPr="00CF1CF6">
        <w:rPr>
          <w:sz w:val="20"/>
          <w:szCs w:val="20"/>
        </w:rPr>
        <w:t xml:space="preserve"> </w:t>
      </w:r>
      <w:r w:rsidRPr="00CF1CF6">
        <w:rPr>
          <w:sz w:val="20"/>
          <w:szCs w:val="20"/>
        </w:rPr>
        <w:t>qui prédisent le mieux la réponse antidépressive. L'irruption émotionnelle, les qualités mystiques/unitives et les changements de perspective liés à la dissolution du moi sont associés à un soulagement symptomatique plus important et plus durable, tandis que les états anxieux ou dysphoriques réduisent le bénéfice thérapeutique : c'est la qualité expérientielle, et non l'intensité brute, qui porte le signal thérapeutique.</w:t>
      </w:r>
    </w:p>
    <w:p w14:paraId="00000032" w14:textId="501BC056" w:rsidR="00493C75" w:rsidRPr="00CF1CF6" w:rsidRDefault="00000000">
      <w:pPr>
        <w:spacing w:after="160"/>
        <w:jc w:val="both"/>
        <w:rPr>
          <w:sz w:val="20"/>
          <w:szCs w:val="20"/>
        </w:rPr>
      </w:pPr>
      <w:r w:rsidRPr="00CF1CF6">
        <w:rPr>
          <w:sz w:val="20"/>
          <w:szCs w:val="20"/>
        </w:rPr>
        <w:t xml:space="preserve">Les éléments du contexte constituent des leviers actifs : une alliance thérapeutique solide et une musique résonnante et intentionnellement choisie augmentent la probabilité d'expériences transformatrices et l'amélioration clinique </w:t>
      </w:r>
      <w:r w:rsidRPr="00CF1CF6">
        <w:rPr>
          <w:sz w:val="20"/>
          <w:szCs w:val="20"/>
        </w:rPr>
        <w:lastRenderedPageBreak/>
        <w:t xml:space="preserve">subséquente. L'attente prédit l'issue sous ISRS mais pas sous psilocybine, tandis que la suggestibilité module le bénéfice </w:t>
      </w:r>
      <w:proofErr w:type="spellStart"/>
      <w:r w:rsidRPr="00CF1CF6">
        <w:rPr>
          <w:sz w:val="20"/>
          <w:szCs w:val="20"/>
        </w:rPr>
        <w:t>psilocybinique</w:t>
      </w:r>
      <w:proofErr w:type="spellEnd"/>
      <w:r w:rsidRPr="00CF1CF6">
        <w:rPr>
          <w:sz w:val="20"/>
          <w:szCs w:val="20"/>
        </w:rPr>
        <w:t xml:space="preserve"> ; l'absorption se rapporte davantage à la vivacité phénoménologique qu'au changement clinique.</w:t>
      </w:r>
    </w:p>
    <w:p w14:paraId="00000033" w14:textId="77777777" w:rsidR="00493C75" w:rsidRPr="00CF1CF6" w:rsidRDefault="00000000">
      <w:pPr>
        <w:spacing w:after="160"/>
        <w:jc w:val="both"/>
        <w:rPr>
          <w:sz w:val="20"/>
          <w:szCs w:val="20"/>
        </w:rPr>
      </w:pPr>
      <w:r w:rsidRPr="00CF1CF6">
        <w:rPr>
          <w:sz w:val="20"/>
          <w:szCs w:val="20"/>
        </w:rPr>
        <w:t>Les modérateurs de base ont des effets plus modestes et hétérogènes : la comorbidité TSPT peut atténuer le bénéfice dans certaines cohortes de DRT ; un usage antérieur extensif de psychédéliques peut réduire le gain incrémentiel. La motivation médicinale et la dose n'agissent principalement qu'en favorisant les expériences curatives décrites précédemment. Les signaux exploratoires (valence du discours pré-traitement, névrosisme élevé) méritent une validation prospective ; les données démographiques n'apportent que peu d'information.</w:t>
      </w:r>
    </w:p>
    <w:p w14:paraId="00000034" w14:textId="05266F35" w:rsidR="00493C75" w:rsidRPr="00CF1CF6" w:rsidRDefault="00C4161A">
      <w:pPr>
        <w:spacing w:after="160"/>
        <w:jc w:val="both"/>
        <w:rPr>
          <w:sz w:val="20"/>
          <w:szCs w:val="20"/>
        </w:rPr>
      </w:pPr>
      <w:r w:rsidRPr="00CF1CF6">
        <w:rPr>
          <w:sz w:val="20"/>
          <w:szCs w:val="20"/>
        </w:rPr>
        <w:t>La biologie multi-niveau</w:t>
      </w:r>
      <w:r w:rsidR="00000000" w:rsidRPr="00CF1CF6">
        <w:rPr>
          <w:sz w:val="20"/>
          <w:szCs w:val="20"/>
        </w:rPr>
        <w:t xml:space="preserve"> converge avec ce tableau : les psychédéliques orientent les réseaux cérébraux vers une moindre segmentation et une plus grande flexibilité, relâchent la contrainte préfrontale rigide, et s'accompagnent de modifications électroencéphalographiques et de biomarqueurs périphériques compatibles avec une plasticité accrue, offrant un pont plausible entre qualité de la séance, changement neural et issue clinique.</w:t>
      </w:r>
    </w:p>
    <w:p w14:paraId="00000035" w14:textId="77777777" w:rsidR="00493C75" w:rsidRDefault="00000000">
      <w:pPr>
        <w:spacing w:after="160"/>
        <w:jc w:val="both"/>
        <w:rPr>
          <w:sz w:val="20"/>
          <w:szCs w:val="20"/>
        </w:rPr>
      </w:pPr>
      <w:r w:rsidRPr="00CF1CF6">
        <w:rPr>
          <w:sz w:val="20"/>
          <w:szCs w:val="20"/>
        </w:rPr>
        <w:t>Globalement, l'identité du patient importe moins que la nature de son expérience et l'habileté avec laquelle le contexte la canalise. L'optimisation du cadre, du contexte et du soutien thérapeutique pour susciter de façon fiable irruption émotionnelle et insight constitue la voie la mieux étayée par les données actuelles pour obtenir un changement antidépresseur durable.</w:t>
      </w:r>
    </w:p>
    <w:p w14:paraId="7FA503D3" w14:textId="140374AE" w:rsidR="00C4161A" w:rsidRPr="00C4161A" w:rsidRDefault="00C4161A" w:rsidP="00C4161A">
      <w:pPr>
        <w:spacing w:after="160"/>
        <w:jc w:val="center"/>
        <w:rPr>
          <w:b/>
          <w:bCs/>
          <w:sz w:val="20"/>
          <w:szCs w:val="20"/>
        </w:rPr>
      </w:pPr>
      <w:r w:rsidRPr="00C4161A">
        <w:rPr>
          <w:b/>
          <w:bCs/>
          <w:sz w:val="20"/>
          <w:szCs w:val="20"/>
        </w:rPr>
        <w:t>Dr Chakri</w:t>
      </w:r>
      <w:r w:rsidRPr="00C4161A">
        <w:rPr>
          <w:b/>
          <w:bCs/>
          <w:sz w:val="20"/>
          <w:szCs w:val="20"/>
        </w:rPr>
        <w:t xml:space="preserve"> Soukaina</w:t>
      </w:r>
    </w:p>
    <w:p w14:paraId="094B378D" w14:textId="639FFEEA" w:rsidR="00C4161A" w:rsidRPr="00C4161A" w:rsidRDefault="00C4161A" w:rsidP="00C4161A">
      <w:pPr>
        <w:spacing w:after="160"/>
        <w:jc w:val="center"/>
        <w:rPr>
          <w:b/>
          <w:bCs/>
          <w:sz w:val="20"/>
          <w:szCs w:val="20"/>
        </w:rPr>
      </w:pPr>
      <w:r w:rsidRPr="00C4161A">
        <w:rPr>
          <w:b/>
          <w:bCs/>
          <w:sz w:val="20"/>
          <w:szCs w:val="20"/>
        </w:rPr>
        <w:t>Centre psychiatrique universitaire</w:t>
      </w:r>
    </w:p>
    <w:p w14:paraId="7796160E" w14:textId="0C0350B2" w:rsidR="00C4161A" w:rsidRPr="00C4161A" w:rsidRDefault="00C4161A" w:rsidP="00C4161A">
      <w:pPr>
        <w:spacing w:after="160"/>
        <w:jc w:val="center"/>
        <w:rPr>
          <w:b/>
          <w:bCs/>
          <w:sz w:val="20"/>
          <w:szCs w:val="20"/>
        </w:rPr>
      </w:pPr>
      <w:r w:rsidRPr="00C4161A">
        <w:rPr>
          <w:b/>
          <w:bCs/>
          <w:sz w:val="20"/>
          <w:szCs w:val="20"/>
        </w:rPr>
        <w:t>CHU MOHAMED VI AGADIR</w:t>
      </w:r>
    </w:p>
    <w:sectPr w:rsidR="00C4161A" w:rsidRPr="00C4161A">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180CB30-6D9D-4781-829C-A01267971632}"/>
    <w:embedBold r:id="rId2" w:fontKey="{48D4A894-4EB2-45B6-A7E1-916F62A2CDBA}"/>
    <w:embedItalic r:id="rId3" w:fontKey="{CA005052-AB99-4A56-9E53-3FAE7A6874B3}"/>
    <w:embedBoldItalic r:id="rId4" w:fontKey="{1B15FA93-CAB8-43C1-822D-18C67421DF5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527B6CFD-1DE8-4CAA-ADCF-338DEDF266F6}"/>
  </w:font>
  <w:font w:name="Cambria">
    <w:panose1 w:val="02040503050406030204"/>
    <w:charset w:val="00"/>
    <w:family w:val="roman"/>
    <w:pitch w:val="variable"/>
    <w:sig w:usb0="E00006FF" w:usb1="420024FF" w:usb2="02000000" w:usb3="00000000" w:csb0="0000019F" w:csb1="00000000"/>
    <w:embedRegular r:id="rId6" w:fontKey="{DC42FBAB-1E21-4816-B4CC-625A45DA85C1}"/>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2BF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15050B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70871215">
    <w:abstractNumId w:val="0"/>
  </w:num>
  <w:num w:numId="2" w16cid:durableId="1196383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C75"/>
    <w:rsid w:val="00151F3E"/>
    <w:rsid w:val="002949FD"/>
    <w:rsid w:val="003A4FBD"/>
    <w:rsid w:val="00446AEA"/>
    <w:rsid w:val="00493C75"/>
    <w:rsid w:val="006D38E5"/>
    <w:rsid w:val="0071644E"/>
    <w:rsid w:val="007A7E25"/>
    <w:rsid w:val="008D408D"/>
    <w:rsid w:val="00BD1FA3"/>
    <w:rsid w:val="00C4161A"/>
    <w:rsid w:val="00CF1CF6"/>
    <w:rsid w:val="00E807A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5C6B6"/>
  <w15:docId w15:val="{CB7EFBF4-57FC-4E9B-9E76-919E6F376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itre2">
    <w:name w:val="heading 2"/>
    <w:basedOn w:val="Normal"/>
    <w:next w:val="Normal"/>
    <w:uiPriority w:val="9"/>
    <w:unhideWhenUsed/>
    <w:qFormat/>
    <w:pPr>
      <w:pBdr>
        <w:top w:val="nil"/>
        <w:left w:val="nil"/>
        <w:bottom w:val="nil"/>
        <w:right w:val="nil"/>
        <w:between w:val="nil"/>
      </w:pBdr>
      <w:outlineLvl w:val="1"/>
    </w:pPr>
    <w:rPr>
      <w:color w:val="2E74B5"/>
      <w:sz w:val="26"/>
      <w:szCs w:val="26"/>
    </w:rPr>
  </w:style>
  <w:style w:type="paragraph" w:styleId="Titre3">
    <w:name w:val="heading 3"/>
    <w:basedOn w:val="Normal"/>
    <w:next w:val="Normal"/>
    <w:uiPriority w:val="9"/>
    <w:unhideWhenUsed/>
    <w:qFormat/>
    <w:pPr>
      <w:pBdr>
        <w:top w:val="nil"/>
        <w:left w:val="nil"/>
        <w:bottom w:val="nil"/>
        <w:right w:val="nil"/>
        <w:between w:val="nil"/>
      </w:pBdr>
      <w:outlineLvl w:val="2"/>
    </w:pPr>
    <w:rPr>
      <w:color w:val="1F4D78"/>
      <w:sz w:val="24"/>
      <w:szCs w:val="24"/>
    </w:rPr>
  </w:style>
  <w:style w:type="paragraph" w:styleId="Titre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itre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itre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pBdr>
        <w:top w:val="nil"/>
        <w:left w:val="nil"/>
        <w:bottom w:val="nil"/>
        <w:right w:val="nil"/>
        <w:between w:val="nil"/>
      </w:pBdr>
    </w:pPr>
    <w:rPr>
      <w:color w:val="000000"/>
      <w:sz w:val="56"/>
      <w:szCs w:val="56"/>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Style1">
    <w:name w:val="Style1"/>
    <w:basedOn w:val="Normal"/>
    <w:link w:val="Style1Car"/>
    <w:qFormat/>
    <w:rsid w:val="006D38E5"/>
    <w:pPr>
      <w:spacing w:after="240"/>
    </w:pPr>
    <w:rPr>
      <w:b/>
      <w:bCs/>
      <w:color w:val="7030A0"/>
      <w:sz w:val="24"/>
      <w:szCs w:val="24"/>
    </w:rPr>
  </w:style>
  <w:style w:type="character" w:customStyle="1" w:styleId="Style1Car">
    <w:name w:val="Style1 Car"/>
    <w:basedOn w:val="Policepardfaut"/>
    <w:link w:val="Style1"/>
    <w:rsid w:val="006D38E5"/>
    <w:rPr>
      <w:b/>
      <w:bCs/>
      <w:color w:val="7030A0"/>
      <w:sz w:val="24"/>
      <w:szCs w:val="24"/>
    </w:rPr>
  </w:style>
  <w:style w:type="paragraph" w:styleId="Paragraphedeliste">
    <w:name w:val="List Paragraph"/>
    <w:basedOn w:val="Normal"/>
    <w:uiPriority w:val="34"/>
    <w:qFormat/>
    <w:rsid w:val="006D38E5"/>
    <w:pPr>
      <w:ind w:left="720"/>
      <w:contextualSpacing/>
    </w:pPr>
  </w:style>
  <w:style w:type="paragraph" w:customStyle="1" w:styleId="Style2">
    <w:name w:val="Style2"/>
    <w:basedOn w:val="Normal"/>
    <w:link w:val="Style2Car"/>
    <w:qFormat/>
    <w:rsid w:val="006D38E5"/>
    <w:pPr>
      <w:spacing w:after="120"/>
    </w:pPr>
    <w:rPr>
      <w:b/>
      <w:bCs/>
      <w:color w:val="31849B" w:themeColor="accent5" w:themeShade="BF"/>
      <w:sz w:val="24"/>
      <w:szCs w:val="24"/>
      <w:u w:val="single"/>
    </w:rPr>
  </w:style>
  <w:style w:type="character" w:customStyle="1" w:styleId="Style2Car">
    <w:name w:val="Style2 Car"/>
    <w:basedOn w:val="Policepardfaut"/>
    <w:link w:val="Style2"/>
    <w:rsid w:val="006D38E5"/>
    <w:rPr>
      <w:b/>
      <w:bCs/>
      <w:color w:val="31849B" w:themeColor="accent5" w:themeShade="BF"/>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3060</Words>
  <Characters>16836</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khadija Akebour</cp:lastModifiedBy>
  <cp:revision>6</cp:revision>
  <dcterms:created xsi:type="dcterms:W3CDTF">2026-09-24T15:00:00Z</dcterms:created>
  <dcterms:modified xsi:type="dcterms:W3CDTF">2026-09-25T14:14:00Z</dcterms:modified>
</cp:coreProperties>
</file>