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2F5" w:rsidRDefault="00D96359">
      <w:pPr>
        <w:jc w:val="center"/>
      </w:pPr>
      <w:r>
        <w:rPr>
          <w:noProof/>
          <w:lang w:eastAsia="fr-FR"/>
        </w:rPr>
        <w:drawing>
          <wp:inline distT="0" distB="0" distL="0" distR="0">
            <wp:extent cx="5578324" cy="1882301"/>
            <wp:effectExtent l="0" t="0" r="3326" b="3649"/>
            <wp:docPr id="1"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578324" cy="1882301"/>
                    </a:xfrm>
                    <a:prstGeom prst="rect">
                      <a:avLst/>
                    </a:prstGeom>
                    <a:noFill/>
                    <a:ln>
                      <a:noFill/>
                      <a:prstDash/>
                    </a:ln>
                  </pic:spPr>
                </pic:pic>
              </a:graphicData>
            </a:graphic>
          </wp:inline>
        </w:drawing>
      </w:r>
    </w:p>
    <w:p w:rsidR="003412F5" w:rsidRDefault="00D96359">
      <w:pPr>
        <w:jc w:val="center"/>
      </w:pPr>
      <w:bookmarkStart w:id="0" w:name="_GoBack"/>
      <w:r>
        <w:t xml:space="preserve"> </w:t>
      </w:r>
      <w:r>
        <w:rPr>
          <w:rStyle w:val="Policepardfaut"/>
          <w:b/>
          <w:bCs/>
          <w:color w:val="0070C0"/>
          <w:sz w:val="28"/>
          <w:szCs w:val="28"/>
          <w:u w:val="single"/>
        </w:rPr>
        <w:t>Les effets des psychédéliques sur le trouble déficit de l’attention avec ou sans hyperactivité (TDAH) : une revue systématique</w:t>
      </w:r>
    </w:p>
    <w:bookmarkEnd w:id="0"/>
    <w:p w:rsidR="003412F5" w:rsidRDefault="00D96359">
      <w:pPr>
        <w:pStyle w:val="Paragraphedeliste"/>
        <w:numPr>
          <w:ilvl w:val="0"/>
          <w:numId w:val="1"/>
        </w:numPr>
        <w:jc w:val="both"/>
        <w:rPr>
          <w:b/>
          <w:bCs/>
          <w:color w:val="FF0000"/>
          <w:sz w:val="28"/>
          <w:szCs w:val="28"/>
          <w:u w:val="single"/>
        </w:rPr>
      </w:pPr>
      <w:r>
        <w:rPr>
          <w:b/>
          <w:bCs/>
          <w:color w:val="FF0000"/>
          <w:sz w:val="28"/>
          <w:szCs w:val="28"/>
          <w:u w:val="single"/>
        </w:rPr>
        <w:t>Introduction :</w:t>
      </w:r>
    </w:p>
    <w:p w:rsidR="003412F5" w:rsidRDefault="00D96359">
      <w:pPr>
        <w:jc w:val="both"/>
        <w:rPr>
          <w:rFonts w:eastAsia="Times New Roman"/>
          <w:kern w:val="0"/>
          <w:lang w:eastAsia="fr-FR"/>
        </w:rPr>
      </w:pPr>
      <w:r>
        <w:rPr>
          <w:rFonts w:eastAsia="Times New Roman"/>
          <w:kern w:val="0"/>
          <w:lang w:eastAsia="fr-FR"/>
        </w:rPr>
        <w:t xml:space="preserve">Le TDAH est un trouble </w:t>
      </w:r>
      <w:proofErr w:type="spellStart"/>
      <w:r>
        <w:rPr>
          <w:rFonts w:eastAsia="Times New Roman"/>
          <w:kern w:val="0"/>
          <w:lang w:eastAsia="fr-FR"/>
        </w:rPr>
        <w:t>neurodéveloppemental</w:t>
      </w:r>
      <w:proofErr w:type="spellEnd"/>
      <w:r>
        <w:rPr>
          <w:rFonts w:eastAsia="Times New Roman"/>
          <w:kern w:val="0"/>
          <w:lang w:eastAsia="fr-FR"/>
        </w:rPr>
        <w:t xml:space="preserve"> fréquent, dont la prise en charge repose principalement, chez l’adulte, sur les psychostimulants et l’</w:t>
      </w:r>
      <w:proofErr w:type="spellStart"/>
      <w:r>
        <w:rPr>
          <w:rFonts w:eastAsia="Times New Roman"/>
          <w:kern w:val="0"/>
          <w:lang w:eastAsia="fr-FR"/>
        </w:rPr>
        <w:t>atomoxétine</w:t>
      </w:r>
      <w:proofErr w:type="spellEnd"/>
      <w:r>
        <w:rPr>
          <w:rFonts w:eastAsia="Times New Roman"/>
          <w:kern w:val="0"/>
          <w:lang w:eastAsia="fr-FR"/>
        </w:rPr>
        <w:t xml:space="preserve">. Cependant, certains patients présentent une réponse insuffisante ou des contre-indications aux traitements disponibles, </w:t>
      </w:r>
      <w:r>
        <w:rPr>
          <w:rFonts w:eastAsia="Times New Roman"/>
          <w:kern w:val="0"/>
          <w:lang w:eastAsia="fr-FR"/>
        </w:rPr>
        <w:t>justifiant la recherche de nouvelles options thérapeutiques.</w:t>
      </w:r>
    </w:p>
    <w:p w:rsidR="003412F5" w:rsidRDefault="00D96359">
      <w:pPr>
        <w:jc w:val="both"/>
        <w:rPr>
          <w:rFonts w:eastAsia="Times New Roman"/>
          <w:kern w:val="0"/>
          <w:lang w:eastAsia="fr-FR"/>
        </w:rPr>
      </w:pPr>
      <w:r>
        <w:rPr>
          <w:rFonts w:eastAsia="Times New Roman"/>
          <w:kern w:val="0"/>
          <w:lang w:eastAsia="fr-FR"/>
        </w:rPr>
        <w:t>Les psychédéliques suscitent un intérêt croissant en psychiatrie en raison de résultats prometteurs dans plusieurs troubles psychiatriques. Les psychédéliques classiques, tels que le LSD, la psil</w:t>
      </w:r>
      <w:r>
        <w:rPr>
          <w:rFonts w:eastAsia="Times New Roman"/>
          <w:kern w:val="0"/>
          <w:lang w:eastAsia="fr-FR"/>
        </w:rPr>
        <w:t>ocybine, la DMT et la mescaline, agissent principalement via les récepteurs sérotoninergiques 5-HT2A. Plusieurs mécanismes pourraient expliquer leur intérêt potentiel dans le TDAH, notamment les effets stimulants sur le système nerveux central, la modulati</w:t>
      </w:r>
      <w:r>
        <w:rPr>
          <w:rFonts w:eastAsia="Times New Roman"/>
          <w:kern w:val="0"/>
          <w:lang w:eastAsia="fr-FR"/>
        </w:rPr>
        <w:t xml:space="preserve">on de la transmission </w:t>
      </w:r>
      <w:proofErr w:type="spellStart"/>
      <w:r>
        <w:rPr>
          <w:rFonts w:eastAsia="Times New Roman"/>
          <w:kern w:val="0"/>
          <w:lang w:eastAsia="fr-FR"/>
        </w:rPr>
        <w:t>glutamatergique</w:t>
      </w:r>
      <w:proofErr w:type="spellEnd"/>
      <w:r>
        <w:rPr>
          <w:rFonts w:eastAsia="Times New Roman"/>
          <w:kern w:val="0"/>
          <w:lang w:eastAsia="fr-FR"/>
        </w:rPr>
        <w:t xml:space="preserve">, ainsi que l’augmentation de la </w:t>
      </w:r>
      <w:proofErr w:type="spellStart"/>
      <w:r>
        <w:rPr>
          <w:rFonts w:eastAsia="Times New Roman"/>
          <w:kern w:val="0"/>
          <w:lang w:eastAsia="fr-FR"/>
        </w:rPr>
        <w:t>neuroplasticité</w:t>
      </w:r>
      <w:proofErr w:type="spellEnd"/>
      <w:r>
        <w:rPr>
          <w:rFonts w:eastAsia="Times New Roman"/>
          <w:kern w:val="0"/>
          <w:lang w:eastAsia="fr-FR"/>
        </w:rPr>
        <w:t xml:space="preserve"> et des modifications de la connectivité cérébrale.</w:t>
      </w:r>
    </w:p>
    <w:p w:rsidR="003412F5" w:rsidRDefault="00D96359">
      <w:pPr>
        <w:jc w:val="both"/>
        <w:rPr>
          <w:rFonts w:eastAsia="Times New Roman"/>
          <w:kern w:val="0"/>
          <w:lang w:eastAsia="fr-FR"/>
        </w:rPr>
      </w:pPr>
      <w:r>
        <w:rPr>
          <w:rFonts w:eastAsia="Times New Roman"/>
          <w:kern w:val="0"/>
          <w:lang w:eastAsia="fr-FR"/>
        </w:rPr>
        <w:t>Toutefois, les données concernant leur efficacité dans le TDAH restent limitées et contradictoires. Les études non cont</w:t>
      </w:r>
      <w:r>
        <w:rPr>
          <w:rFonts w:eastAsia="Times New Roman"/>
          <w:kern w:val="0"/>
          <w:lang w:eastAsia="fr-FR"/>
        </w:rPr>
        <w:t xml:space="preserve">rôlées rapportent certains effets positifs, mais un essai </w:t>
      </w:r>
      <w:proofErr w:type="gramStart"/>
      <w:r>
        <w:rPr>
          <w:rFonts w:eastAsia="Times New Roman"/>
          <w:kern w:val="0"/>
          <w:lang w:eastAsia="fr-FR"/>
        </w:rPr>
        <w:t>randomisé</w:t>
      </w:r>
      <w:proofErr w:type="gramEnd"/>
      <w:r>
        <w:rPr>
          <w:rFonts w:eastAsia="Times New Roman"/>
          <w:kern w:val="0"/>
          <w:lang w:eastAsia="fr-FR"/>
        </w:rPr>
        <w:t xml:space="preserve"> contrôlé sur le microdosage de LSD n’a pas montré d’amélioration significative des symptômes par rapport au placebo. De plus, l’hétérogénéité des substances, des doses, des voies d’adminis</w:t>
      </w:r>
      <w:r>
        <w:rPr>
          <w:rFonts w:eastAsia="Times New Roman"/>
          <w:kern w:val="0"/>
          <w:lang w:eastAsia="fr-FR"/>
        </w:rPr>
        <w:t>tration et de la qualité des produits constitue une importante source d’incertitude, notamment concernant leur sécurité.</w:t>
      </w:r>
    </w:p>
    <w:p w:rsidR="003412F5" w:rsidRDefault="00D96359">
      <w:pPr>
        <w:jc w:val="both"/>
      </w:pPr>
      <w:r>
        <w:rPr>
          <w:rStyle w:val="Policepardfaut"/>
          <w:rFonts w:eastAsia="Times New Roman"/>
          <w:kern w:val="0"/>
          <w:lang w:eastAsia="fr-FR"/>
        </w:rPr>
        <w:t>Ainsi, malgré un rationnel neurobiologique plausible, l’efficacité et la sécurité des psychédéliques dans le TDAH restent à établir. Ce</w:t>
      </w:r>
      <w:r>
        <w:rPr>
          <w:rStyle w:val="Policepardfaut"/>
          <w:rFonts w:eastAsia="Times New Roman"/>
          <w:kern w:val="0"/>
          <w:lang w:eastAsia="fr-FR"/>
        </w:rPr>
        <w:t>tte revue systématique vise donc à identifier et analyser les études disponibles afin d’évaluer les données actuelles et de déterminer si de nouvelles études cliniques sont nécessaires.</w:t>
      </w:r>
    </w:p>
    <w:p w:rsidR="003412F5" w:rsidRDefault="00D96359">
      <w:pPr>
        <w:pStyle w:val="Paragraphedeliste"/>
        <w:numPr>
          <w:ilvl w:val="0"/>
          <w:numId w:val="1"/>
        </w:numPr>
        <w:jc w:val="both"/>
        <w:rPr>
          <w:b/>
          <w:bCs/>
          <w:color w:val="FF0000"/>
          <w:sz w:val="28"/>
          <w:szCs w:val="28"/>
          <w:u w:val="single"/>
        </w:rPr>
      </w:pPr>
      <w:r>
        <w:rPr>
          <w:b/>
          <w:bCs/>
          <w:color w:val="FF0000"/>
          <w:sz w:val="28"/>
          <w:szCs w:val="28"/>
          <w:u w:val="single"/>
        </w:rPr>
        <w:t>Méthodes :</w:t>
      </w:r>
    </w:p>
    <w:p w:rsidR="003412F5" w:rsidRDefault="00D96359">
      <w:pPr>
        <w:suppressAutoHyphens w:val="0"/>
        <w:spacing w:before="100" w:after="100"/>
        <w:jc w:val="both"/>
        <w:textAlignment w:val="auto"/>
        <w:rPr>
          <w:rFonts w:eastAsia="Times New Roman"/>
          <w:kern w:val="0"/>
          <w:lang w:eastAsia="fr-FR"/>
        </w:rPr>
      </w:pPr>
      <w:r>
        <w:rPr>
          <w:rFonts w:eastAsia="Times New Roman"/>
          <w:kern w:val="0"/>
          <w:lang w:eastAsia="fr-FR"/>
        </w:rPr>
        <w:t>Cette revue systématique a été réalisée conformément aux re</w:t>
      </w:r>
      <w:r>
        <w:rPr>
          <w:rFonts w:eastAsia="Times New Roman"/>
          <w:kern w:val="0"/>
          <w:lang w:eastAsia="fr-FR"/>
        </w:rPr>
        <w:t xml:space="preserve">commandations PRISMA et préenregistrée sur PROSPERO. Les bases de données APA </w:t>
      </w:r>
      <w:proofErr w:type="spellStart"/>
      <w:r>
        <w:rPr>
          <w:rFonts w:eastAsia="Times New Roman"/>
          <w:kern w:val="0"/>
          <w:lang w:eastAsia="fr-FR"/>
        </w:rPr>
        <w:t>PsycINFO</w:t>
      </w:r>
      <w:proofErr w:type="spellEnd"/>
      <w:r>
        <w:rPr>
          <w:rFonts w:eastAsia="Times New Roman"/>
          <w:kern w:val="0"/>
          <w:lang w:eastAsia="fr-FR"/>
        </w:rPr>
        <w:t xml:space="preserve"> et MEDLINE ont été interrogées le 20 août 2025, sans restriction de période, à l’aide de termes portant sur le TDAH et plusieurs psychédéliques ou hallucinogènes : LSD, </w:t>
      </w:r>
      <w:r>
        <w:rPr>
          <w:rFonts w:eastAsia="Times New Roman"/>
          <w:kern w:val="0"/>
          <w:lang w:eastAsia="fr-FR"/>
        </w:rPr>
        <w:t xml:space="preserve">psilocybine, DMT, mescaline, </w:t>
      </w:r>
      <w:proofErr w:type="spellStart"/>
      <w:r>
        <w:rPr>
          <w:rFonts w:eastAsia="Times New Roman"/>
          <w:kern w:val="0"/>
          <w:lang w:eastAsia="fr-FR"/>
        </w:rPr>
        <w:t>phencyclidine</w:t>
      </w:r>
      <w:proofErr w:type="spellEnd"/>
      <w:r>
        <w:rPr>
          <w:rFonts w:eastAsia="Times New Roman"/>
          <w:kern w:val="0"/>
          <w:lang w:eastAsia="fr-FR"/>
        </w:rPr>
        <w:t>, MDMA et kétamine. Ont été incluses les études originales chez l’humain, p</w:t>
      </w:r>
      <w:r>
        <w:rPr>
          <w:rFonts w:eastAsia="Times New Roman"/>
          <w:kern w:val="0"/>
          <w:lang w:eastAsia="fr-FR"/>
        </w:rPr>
        <w:t>u</w:t>
      </w:r>
      <w:r>
        <w:rPr>
          <w:rFonts w:eastAsia="Times New Roman"/>
          <w:kern w:val="0"/>
          <w:lang w:eastAsia="fr-FR"/>
        </w:rPr>
        <w:t xml:space="preserve">bliées en anglais, évaluant l’effet de ces substances sur le TDAH. Les données auto-rapportées ont également été acceptées compte tenu du </w:t>
      </w:r>
      <w:r>
        <w:rPr>
          <w:rFonts w:eastAsia="Times New Roman"/>
          <w:kern w:val="0"/>
          <w:lang w:eastAsia="fr-FR"/>
        </w:rPr>
        <w:t>faible nombre d’études disponibles. Les publications non évaluées par les pairs, résumés de congrès et éditoriaux ont été exclus, ainsi que les études portant uniquement sur des symptômes de TDAH sans diagnostic cl</w:t>
      </w:r>
      <w:r>
        <w:rPr>
          <w:rFonts w:eastAsia="Times New Roman"/>
          <w:kern w:val="0"/>
          <w:lang w:eastAsia="fr-FR"/>
        </w:rPr>
        <w:t>i</w:t>
      </w:r>
      <w:r>
        <w:rPr>
          <w:rFonts w:eastAsia="Times New Roman"/>
          <w:kern w:val="0"/>
          <w:lang w:eastAsia="fr-FR"/>
        </w:rPr>
        <w:t>nique établi.</w:t>
      </w:r>
    </w:p>
    <w:p w:rsidR="003412F5" w:rsidRDefault="00D96359">
      <w:pPr>
        <w:suppressAutoHyphens w:val="0"/>
        <w:spacing w:before="100" w:after="100"/>
        <w:jc w:val="both"/>
        <w:textAlignment w:val="auto"/>
        <w:rPr>
          <w:rFonts w:eastAsia="Times New Roman"/>
          <w:kern w:val="0"/>
          <w:lang w:eastAsia="fr-FR"/>
        </w:rPr>
      </w:pPr>
      <w:r>
        <w:rPr>
          <w:rFonts w:eastAsia="Times New Roman"/>
          <w:kern w:val="0"/>
          <w:lang w:eastAsia="fr-FR"/>
        </w:rPr>
        <w:t>La sélection des études a é</w:t>
      </w:r>
      <w:r>
        <w:rPr>
          <w:rFonts w:eastAsia="Times New Roman"/>
          <w:kern w:val="0"/>
          <w:lang w:eastAsia="fr-FR"/>
        </w:rPr>
        <w:t xml:space="preserve">té réalisée indépendamment par deux auteurs, avec un accord modéré entre les évaluateurs. Les divergences ont été résolues par discussion avec les </w:t>
      </w:r>
      <w:r>
        <w:rPr>
          <w:rFonts w:eastAsia="Times New Roman"/>
          <w:kern w:val="0"/>
          <w:lang w:eastAsia="fr-FR"/>
        </w:rPr>
        <w:lastRenderedPageBreak/>
        <w:t xml:space="preserve">autres auteurs. Le logiciel </w:t>
      </w:r>
      <w:proofErr w:type="spellStart"/>
      <w:r>
        <w:rPr>
          <w:rFonts w:eastAsia="Times New Roman"/>
          <w:kern w:val="0"/>
          <w:lang w:eastAsia="fr-FR"/>
        </w:rPr>
        <w:t>Rayyan</w:t>
      </w:r>
      <w:proofErr w:type="spellEnd"/>
      <w:r>
        <w:rPr>
          <w:rFonts w:eastAsia="Times New Roman"/>
          <w:kern w:val="0"/>
          <w:lang w:eastAsia="fr-FR"/>
        </w:rPr>
        <w:t xml:space="preserve"> a été utilisé pour faciliter le processus de sélection. Les données ont en</w:t>
      </w:r>
      <w:r>
        <w:rPr>
          <w:rFonts w:eastAsia="Times New Roman"/>
          <w:kern w:val="0"/>
          <w:lang w:eastAsia="fr-FR"/>
        </w:rPr>
        <w:t>suite été extraites et validées par un membre de l’équipe. La qualité méth</w:t>
      </w:r>
      <w:r>
        <w:rPr>
          <w:rFonts w:eastAsia="Times New Roman"/>
          <w:kern w:val="0"/>
          <w:lang w:eastAsia="fr-FR"/>
        </w:rPr>
        <w:t>o</w:t>
      </w:r>
      <w:r>
        <w:rPr>
          <w:rFonts w:eastAsia="Times New Roman"/>
          <w:kern w:val="0"/>
          <w:lang w:eastAsia="fr-FR"/>
        </w:rPr>
        <w:t xml:space="preserve">dologique et le risque de biais ont été évalués à l’aide des grilles </w:t>
      </w:r>
      <w:proofErr w:type="spellStart"/>
      <w:r>
        <w:rPr>
          <w:rFonts w:eastAsia="Times New Roman"/>
          <w:kern w:val="0"/>
          <w:lang w:eastAsia="fr-FR"/>
        </w:rPr>
        <w:t>Critical</w:t>
      </w:r>
      <w:proofErr w:type="spellEnd"/>
      <w:r>
        <w:rPr>
          <w:rFonts w:eastAsia="Times New Roman"/>
          <w:kern w:val="0"/>
          <w:lang w:eastAsia="fr-FR"/>
        </w:rPr>
        <w:t xml:space="preserve"> </w:t>
      </w:r>
      <w:proofErr w:type="spellStart"/>
      <w:r>
        <w:rPr>
          <w:rFonts w:eastAsia="Times New Roman"/>
          <w:kern w:val="0"/>
          <w:lang w:eastAsia="fr-FR"/>
        </w:rPr>
        <w:t>Appraisal</w:t>
      </w:r>
      <w:proofErr w:type="spellEnd"/>
      <w:r>
        <w:rPr>
          <w:rFonts w:eastAsia="Times New Roman"/>
          <w:kern w:val="0"/>
          <w:lang w:eastAsia="fr-FR"/>
        </w:rPr>
        <w:t xml:space="preserve"> </w:t>
      </w:r>
      <w:proofErr w:type="spellStart"/>
      <w:r>
        <w:rPr>
          <w:rFonts w:eastAsia="Times New Roman"/>
          <w:kern w:val="0"/>
          <w:lang w:eastAsia="fr-FR"/>
        </w:rPr>
        <w:t>Skills</w:t>
      </w:r>
      <w:proofErr w:type="spellEnd"/>
      <w:r>
        <w:rPr>
          <w:rFonts w:eastAsia="Times New Roman"/>
          <w:kern w:val="0"/>
          <w:lang w:eastAsia="fr-FR"/>
        </w:rPr>
        <w:t xml:space="preserve"> Programme (CASP) adaptées au type d’étude, puis les résultats ont été synthétisés de m</w:t>
      </w:r>
      <w:r>
        <w:rPr>
          <w:rFonts w:eastAsia="Times New Roman"/>
          <w:kern w:val="0"/>
          <w:lang w:eastAsia="fr-FR"/>
        </w:rPr>
        <w:t>a</w:t>
      </w:r>
      <w:r>
        <w:rPr>
          <w:rFonts w:eastAsia="Times New Roman"/>
          <w:kern w:val="0"/>
          <w:lang w:eastAsia="fr-FR"/>
        </w:rPr>
        <w:t>nière narrative.</w:t>
      </w:r>
    </w:p>
    <w:p w:rsidR="003412F5" w:rsidRDefault="00D96359">
      <w:pPr>
        <w:pStyle w:val="Paragraphedeliste"/>
        <w:numPr>
          <w:ilvl w:val="0"/>
          <w:numId w:val="1"/>
        </w:numPr>
        <w:jc w:val="both"/>
        <w:rPr>
          <w:b/>
          <w:bCs/>
          <w:color w:val="FF0000"/>
          <w:sz w:val="28"/>
          <w:szCs w:val="28"/>
          <w:u w:val="single"/>
        </w:rPr>
      </w:pPr>
      <w:r>
        <w:rPr>
          <w:b/>
          <w:bCs/>
          <w:color w:val="FF0000"/>
          <w:sz w:val="28"/>
          <w:szCs w:val="28"/>
          <w:u w:val="single"/>
        </w:rPr>
        <w:t xml:space="preserve">Résultats : </w:t>
      </w:r>
    </w:p>
    <w:p w:rsidR="003412F5" w:rsidRDefault="00D96359">
      <w:pPr>
        <w:spacing w:before="100" w:after="100"/>
        <w:jc w:val="both"/>
        <w:rPr>
          <w:rFonts w:eastAsia="Times New Roman"/>
          <w:kern w:val="0"/>
          <w:lang w:eastAsia="fr-FR"/>
        </w:rPr>
      </w:pPr>
      <w:r>
        <w:rPr>
          <w:rFonts w:eastAsia="Times New Roman"/>
          <w:kern w:val="0"/>
          <w:lang w:eastAsia="fr-FR"/>
        </w:rPr>
        <w:t>Sur 1 023 études identifiées, seules 6 répondaient aux critères d’inclusion. Elles comprenaient un essai randomisé contrôlé, une étude rétrospective, trois études basées sur des données auto-rapportées et une étude de cas.</w:t>
      </w:r>
    </w:p>
    <w:p w:rsidR="003412F5" w:rsidRDefault="00D96359">
      <w:pPr>
        <w:spacing w:before="100" w:after="100"/>
        <w:jc w:val="both"/>
        <w:rPr>
          <w:rFonts w:eastAsia="Times New Roman"/>
          <w:kern w:val="0"/>
          <w:lang w:eastAsia="fr-FR"/>
        </w:rPr>
      </w:pPr>
      <w:r>
        <w:rPr>
          <w:rFonts w:eastAsia="Times New Roman"/>
          <w:kern w:val="0"/>
          <w:lang w:eastAsia="fr-FR"/>
        </w:rPr>
        <w:t>L'</w:t>
      </w:r>
      <w:r>
        <w:rPr>
          <w:rFonts w:eastAsia="Times New Roman"/>
          <w:kern w:val="0"/>
          <w:lang w:eastAsia="fr-FR"/>
        </w:rPr>
        <w:t>essai contrôlé randomisé de Mueller et al. (2025), portant sur le microdosage de LSD, était méthodologiquement de bonne qualité, mais l’aveugle des participants était insuffisant. Les symptômes du TDAH diminuaient dans les deux groupes, sans différence sta</w:t>
      </w:r>
      <w:r>
        <w:rPr>
          <w:rFonts w:eastAsia="Times New Roman"/>
          <w:kern w:val="0"/>
          <w:lang w:eastAsia="fr-FR"/>
        </w:rPr>
        <w:t>tistiquement significative entre le LSD et le placebo. La faible participation à l’étude constitue également une possible source de biais.</w:t>
      </w:r>
    </w:p>
    <w:p w:rsidR="003412F5" w:rsidRDefault="00D96359">
      <w:pPr>
        <w:spacing w:before="100" w:after="100"/>
        <w:jc w:val="both"/>
        <w:rPr>
          <w:rFonts w:eastAsia="Times New Roman"/>
          <w:kern w:val="0"/>
          <w:lang w:eastAsia="fr-FR"/>
        </w:rPr>
      </w:pPr>
      <w:r>
        <w:rPr>
          <w:rFonts w:eastAsia="Times New Roman"/>
          <w:kern w:val="0"/>
          <w:lang w:eastAsia="fr-FR"/>
        </w:rPr>
        <w:t>Les études transversales reposant principalement sur des données auto-rapportées suggéraient que certains patients ut</w:t>
      </w:r>
      <w:r>
        <w:rPr>
          <w:rFonts w:eastAsia="Times New Roman"/>
          <w:kern w:val="0"/>
          <w:lang w:eastAsia="fr-FR"/>
        </w:rPr>
        <w:t>ilisent des psychédéliques pour leurs symptômes de TDAH. Toutefois, ces résultats doivent être interprétés avec prudence en raison d’un possible biais de sélection, de l’absence de contrôle sur la qualité et la dose des substances utilisées et du caractère</w:t>
      </w:r>
      <w:r>
        <w:rPr>
          <w:rFonts w:eastAsia="Times New Roman"/>
          <w:kern w:val="0"/>
          <w:lang w:eastAsia="fr-FR"/>
        </w:rPr>
        <w:t xml:space="preserve"> auto-rapporté des données.</w:t>
      </w:r>
    </w:p>
    <w:p w:rsidR="003412F5" w:rsidRDefault="00D96359">
      <w:pPr>
        <w:spacing w:before="100" w:after="100"/>
        <w:jc w:val="both"/>
        <w:rPr>
          <w:rFonts w:eastAsia="Times New Roman"/>
          <w:kern w:val="0"/>
          <w:lang w:eastAsia="fr-FR"/>
        </w:rPr>
      </w:pPr>
      <w:r>
        <w:rPr>
          <w:rFonts w:eastAsia="Times New Roman"/>
          <w:kern w:val="0"/>
          <w:lang w:eastAsia="fr-FR"/>
        </w:rPr>
        <w:t xml:space="preserve">L’étude rétrospective de </w:t>
      </w:r>
      <w:proofErr w:type="spellStart"/>
      <w:r>
        <w:rPr>
          <w:rFonts w:eastAsia="Times New Roman"/>
          <w:kern w:val="0"/>
          <w:lang w:eastAsia="fr-FR"/>
        </w:rPr>
        <w:t>Papolos</w:t>
      </w:r>
      <w:proofErr w:type="spellEnd"/>
      <w:r>
        <w:rPr>
          <w:rFonts w:eastAsia="Times New Roman"/>
          <w:kern w:val="0"/>
          <w:lang w:eastAsia="fr-FR"/>
        </w:rPr>
        <w:t xml:space="preserve"> et al. (2013), menée chez 12 jeunes présentant un trouble bipolaire réfractaire, retrouvait une amélioration de certains scores après traitement par kétamine. Cependant, l’outil utilisé évaluait </w:t>
      </w:r>
      <w:r>
        <w:rPr>
          <w:rFonts w:eastAsia="Times New Roman"/>
          <w:kern w:val="0"/>
          <w:lang w:eastAsia="fr-FR"/>
        </w:rPr>
        <w:t>plusieurs dimensions, notamment les symptômes dépressifs et ceux du TDAH, rendant difficile l’attribution spécifique de l’amélioration au TDAH.</w:t>
      </w:r>
    </w:p>
    <w:p w:rsidR="003412F5" w:rsidRDefault="00D96359">
      <w:pPr>
        <w:spacing w:before="100" w:after="100"/>
        <w:jc w:val="both"/>
        <w:rPr>
          <w:rFonts w:eastAsia="Times New Roman"/>
          <w:kern w:val="0"/>
          <w:lang w:eastAsia="fr-FR"/>
        </w:rPr>
      </w:pPr>
      <w:r>
        <w:rPr>
          <w:rFonts w:eastAsia="Times New Roman"/>
          <w:kern w:val="0"/>
          <w:lang w:eastAsia="fr-FR"/>
        </w:rPr>
        <w:t>Enfin, une étude de cas rapportait l’utilisation de kétamine chez un patient présentant à la fois une dépression</w:t>
      </w:r>
      <w:r>
        <w:rPr>
          <w:rFonts w:eastAsia="Times New Roman"/>
          <w:kern w:val="0"/>
          <w:lang w:eastAsia="fr-FR"/>
        </w:rPr>
        <w:t xml:space="preserve"> et un TDAH. Les résultats suggéraient un intérêt potentiel, mais l’absence de différenciation claire entre les effets sur la dépression et ceux sur le TDAH ainsi que le faible nombre de participants limitent fortement leur interprétation.</w:t>
      </w:r>
    </w:p>
    <w:p w:rsidR="003412F5" w:rsidRDefault="00D96359">
      <w:pPr>
        <w:spacing w:before="100" w:after="100"/>
        <w:jc w:val="both"/>
      </w:pPr>
      <w:r>
        <w:rPr>
          <w:rStyle w:val="Policepardfaut"/>
          <w:rFonts w:eastAsia="Times New Roman"/>
          <w:kern w:val="0"/>
          <w:lang w:eastAsia="fr-FR"/>
        </w:rPr>
        <w:t>Globalement, les</w:t>
      </w:r>
      <w:r>
        <w:rPr>
          <w:rStyle w:val="Policepardfaut"/>
          <w:rFonts w:eastAsia="Times New Roman"/>
          <w:kern w:val="0"/>
          <w:lang w:eastAsia="fr-FR"/>
        </w:rPr>
        <w:t xml:space="preserve"> données disponibles sont très limitées et hétérogènes. Elles ne permettent pas actuellement de conclure à une efficacité des psychédéliques dans le traitement du TDAH, mais suggèrent un intérêt pour des recherches cliniques supplémentaires.</w:t>
      </w:r>
    </w:p>
    <w:p w:rsidR="003412F5" w:rsidRDefault="003412F5">
      <w:pPr>
        <w:spacing w:before="100" w:after="100"/>
        <w:jc w:val="both"/>
        <w:rPr>
          <w:rFonts w:eastAsia="Times New Roman"/>
          <w:kern w:val="0"/>
          <w:lang w:eastAsia="fr-FR"/>
        </w:rPr>
      </w:pPr>
    </w:p>
    <w:p w:rsidR="003412F5" w:rsidRDefault="00D96359">
      <w:pPr>
        <w:pStyle w:val="Paragraphedeliste"/>
        <w:numPr>
          <w:ilvl w:val="0"/>
          <w:numId w:val="1"/>
        </w:numPr>
        <w:jc w:val="both"/>
        <w:rPr>
          <w:b/>
          <w:bCs/>
          <w:color w:val="FF0000"/>
          <w:sz w:val="28"/>
          <w:szCs w:val="28"/>
          <w:u w:val="single"/>
        </w:rPr>
      </w:pPr>
      <w:r>
        <w:rPr>
          <w:b/>
          <w:bCs/>
          <w:color w:val="FF0000"/>
          <w:sz w:val="28"/>
          <w:szCs w:val="28"/>
          <w:u w:val="single"/>
        </w:rPr>
        <w:t>Discussion :</w:t>
      </w:r>
    </w:p>
    <w:p w:rsidR="003412F5" w:rsidRDefault="00D96359">
      <w:pPr>
        <w:spacing w:before="100" w:after="100"/>
        <w:jc w:val="both"/>
        <w:rPr>
          <w:rFonts w:eastAsia="Times New Roman"/>
          <w:kern w:val="0"/>
          <w:lang w:eastAsia="fr-FR"/>
        </w:rPr>
      </w:pPr>
      <w:bookmarkStart w:id="1" w:name="_Hlk204111615"/>
      <w:r>
        <w:rPr>
          <w:rFonts w:eastAsia="Times New Roman"/>
          <w:kern w:val="0"/>
          <w:lang w:eastAsia="fr-FR"/>
        </w:rPr>
        <w:t>Cette revue met principalement en évidence un important manque de données cliniques concernant l’utilisation des psychédéliques dans le TDAH. L’absence d’études évaluant séparément différents profils ou sous-types de TDAH constitue notamment une lacune imp</w:t>
      </w:r>
      <w:r>
        <w:rPr>
          <w:rFonts w:eastAsia="Times New Roman"/>
          <w:kern w:val="0"/>
          <w:lang w:eastAsia="fr-FR"/>
        </w:rPr>
        <w:t>ortante. Certains sous-groupes, par exemple les patients présentant des expériences adverses durant l’enfance ou une comorbidité avec un trouble de stress post-traumatique, pourraient avoir des mécanismes et des besoins thérapeutiques différents et mériter</w:t>
      </w:r>
      <w:r>
        <w:rPr>
          <w:rFonts w:eastAsia="Times New Roman"/>
          <w:kern w:val="0"/>
          <w:lang w:eastAsia="fr-FR"/>
        </w:rPr>
        <w:t>aient d’être étudiés spécifiquement.</w:t>
      </w:r>
    </w:p>
    <w:p w:rsidR="003412F5" w:rsidRDefault="00D96359">
      <w:pPr>
        <w:spacing w:before="100" w:after="100"/>
        <w:jc w:val="both"/>
        <w:rPr>
          <w:rFonts w:eastAsia="Times New Roman"/>
          <w:kern w:val="0"/>
          <w:lang w:eastAsia="fr-FR"/>
        </w:rPr>
      </w:pPr>
      <w:r>
        <w:rPr>
          <w:rFonts w:eastAsia="Times New Roman"/>
          <w:kern w:val="0"/>
          <w:lang w:eastAsia="fr-FR"/>
        </w:rPr>
        <w:t>Une autre piste concerne les patients présentant une dépression résistante au traitement associée au TDAH. Bien que la kétamine ait montré des effets antidépresseurs, l’évolution concomitante des symptômes du TDAH est r</w:t>
      </w:r>
      <w:r>
        <w:rPr>
          <w:rFonts w:eastAsia="Times New Roman"/>
          <w:kern w:val="0"/>
          <w:lang w:eastAsia="fr-FR"/>
        </w:rPr>
        <w:t>arement évaluée dans ces études. L’évaluation systématique de ces symptômes pourrait donc permettre d’identifier d’éventuels effets supplémentaires des traitements psychédéliques.</w:t>
      </w:r>
    </w:p>
    <w:p w:rsidR="003412F5" w:rsidRDefault="003412F5">
      <w:pPr>
        <w:spacing w:before="100" w:after="100"/>
        <w:jc w:val="both"/>
        <w:rPr>
          <w:rFonts w:eastAsia="Times New Roman"/>
          <w:kern w:val="0"/>
          <w:lang w:eastAsia="fr-FR"/>
        </w:rPr>
      </w:pPr>
    </w:p>
    <w:p w:rsidR="003412F5" w:rsidRDefault="00D96359">
      <w:pPr>
        <w:spacing w:before="100" w:after="100"/>
        <w:jc w:val="both"/>
        <w:rPr>
          <w:rFonts w:eastAsia="Times New Roman"/>
          <w:kern w:val="0"/>
          <w:lang w:eastAsia="fr-FR"/>
        </w:rPr>
      </w:pPr>
      <w:r>
        <w:rPr>
          <w:rFonts w:eastAsia="Times New Roman"/>
          <w:kern w:val="0"/>
          <w:lang w:eastAsia="fr-FR"/>
        </w:rPr>
        <w:t xml:space="preserve">La revue présente certaines limites, notamment la recherche dans seulement </w:t>
      </w:r>
      <w:r>
        <w:rPr>
          <w:rFonts w:eastAsia="Times New Roman"/>
          <w:kern w:val="0"/>
          <w:lang w:eastAsia="fr-FR"/>
        </w:rPr>
        <w:t xml:space="preserve">deux bases de données et l’utilisation de termes de recherche volontairement restreints. Certaines études pertinentes ont ainsi pu ne pas être identifiées. En revanche, l’approche interdisciplinaire et </w:t>
      </w:r>
      <w:r>
        <w:rPr>
          <w:rFonts w:eastAsia="Times New Roman"/>
          <w:kern w:val="0"/>
          <w:lang w:eastAsia="fr-FR"/>
        </w:rPr>
        <w:lastRenderedPageBreak/>
        <w:t>l’inclusion de la kétamine et de la MDMA aux côtés des</w:t>
      </w:r>
      <w:r>
        <w:rPr>
          <w:rFonts w:eastAsia="Times New Roman"/>
          <w:kern w:val="0"/>
          <w:lang w:eastAsia="fr-FR"/>
        </w:rPr>
        <w:t xml:space="preserve"> psychédéliques classiques ont permis d’explorer plus largement cette question.</w:t>
      </w:r>
    </w:p>
    <w:p w:rsidR="003412F5" w:rsidRDefault="00D96359">
      <w:pPr>
        <w:spacing w:before="100" w:after="100"/>
        <w:jc w:val="both"/>
      </w:pPr>
      <w:r>
        <w:rPr>
          <w:rStyle w:val="Policepardfaut"/>
          <w:rFonts w:eastAsia="Times New Roman"/>
          <w:kern w:val="0"/>
          <w:lang w:eastAsia="fr-FR"/>
        </w:rPr>
        <w:t xml:space="preserve">Enfin, malgré des données de </w:t>
      </w:r>
      <w:proofErr w:type="gramStart"/>
      <w:r>
        <w:rPr>
          <w:rStyle w:val="Policepardfaut"/>
          <w:rFonts w:eastAsia="Times New Roman"/>
          <w:kern w:val="0"/>
          <w:lang w:eastAsia="fr-FR"/>
        </w:rPr>
        <w:t>tolérance</w:t>
      </w:r>
      <w:proofErr w:type="gramEnd"/>
      <w:r>
        <w:rPr>
          <w:rStyle w:val="Policepardfaut"/>
          <w:rFonts w:eastAsia="Times New Roman"/>
          <w:kern w:val="0"/>
          <w:lang w:eastAsia="fr-FR"/>
        </w:rPr>
        <w:t xml:space="preserve"> globalement encourageantes, la sécurité et le rapport bénéfice-risque doivent rester des éléments essentiels avant toute utilisation thér</w:t>
      </w:r>
      <w:r>
        <w:rPr>
          <w:rStyle w:val="Policepardfaut"/>
          <w:rFonts w:eastAsia="Times New Roman"/>
          <w:kern w:val="0"/>
          <w:lang w:eastAsia="fr-FR"/>
        </w:rPr>
        <w:t>apeutique. Des études prospectives, contrôlées et portant sur des sous-groupes cliniquement bien définis sont donc nécessaires pour déterminer la place éventuelle des psychédéliques dans le traitement du TDAH.</w:t>
      </w:r>
    </w:p>
    <w:p w:rsidR="003412F5" w:rsidRDefault="00D96359">
      <w:pPr>
        <w:pStyle w:val="Paragraphedeliste"/>
        <w:numPr>
          <w:ilvl w:val="0"/>
          <w:numId w:val="1"/>
        </w:numPr>
        <w:jc w:val="both"/>
        <w:rPr>
          <w:b/>
          <w:bCs/>
          <w:color w:val="FF0000"/>
          <w:sz w:val="28"/>
          <w:szCs w:val="28"/>
          <w:u w:val="single"/>
        </w:rPr>
      </w:pPr>
      <w:bookmarkStart w:id="2" w:name="_Hlk204111030"/>
      <w:bookmarkEnd w:id="1"/>
      <w:r>
        <w:rPr>
          <w:b/>
          <w:bCs/>
          <w:color w:val="FF0000"/>
          <w:sz w:val="28"/>
          <w:szCs w:val="28"/>
          <w:u w:val="single"/>
        </w:rPr>
        <w:t>Conclusion :</w:t>
      </w:r>
    </w:p>
    <w:bookmarkEnd w:id="2"/>
    <w:p w:rsidR="003412F5" w:rsidRDefault="00D96359">
      <w:pPr>
        <w:pBdr>
          <w:bottom w:val="single" w:sz="6" w:space="1" w:color="000000"/>
        </w:pBdr>
        <w:jc w:val="both"/>
      </w:pPr>
      <w:r>
        <w:t>Les données actuelles sont insuff</w:t>
      </w:r>
      <w:r>
        <w:t>isantes et non concluantes pour recommander l’utilisation des psychédéliques dans le TDAH. Des recherches spécifiques sont nécessaires chez différents sous-groupes de patients, notamment ceux présentant des expériences adverses durant l’enfance ou un troub</w:t>
      </w:r>
      <w:r>
        <w:t>le de stress post-traumatique. Malgré le faible nombre d’études disponibles, cette revue met en évidence des pistes pertinentes pour de futures recherches cliniques.</w:t>
      </w:r>
    </w:p>
    <w:p w:rsidR="003412F5" w:rsidRDefault="003412F5">
      <w:pPr>
        <w:pBdr>
          <w:bottom w:val="single" w:sz="6" w:space="1" w:color="000000"/>
        </w:pBdr>
        <w:jc w:val="both"/>
      </w:pPr>
    </w:p>
    <w:p w:rsidR="003412F5" w:rsidRDefault="00D96359">
      <w:pPr>
        <w:spacing w:after="0"/>
        <w:jc w:val="center"/>
        <w:rPr>
          <w:sz w:val="14"/>
          <w:szCs w:val="14"/>
        </w:rPr>
      </w:pPr>
      <w:r>
        <w:rPr>
          <w:sz w:val="14"/>
          <w:szCs w:val="14"/>
        </w:rPr>
        <w:t>Traduit de l’anglais et synthétisé par Dr NAJMI YASMINE</w:t>
      </w:r>
    </w:p>
    <w:p w:rsidR="003412F5" w:rsidRDefault="00D96359">
      <w:pPr>
        <w:spacing w:after="0"/>
        <w:jc w:val="center"/>
        <w:rPr>
          <w:sz w:val="14"/>
          <w:szCs w:val="14"/>
        </w:rPr>
      </w:pPr>
      <w:r>
        <w:rPr>
          <w:sz w:val="14"/>
          <w:szCs w:val="14"/>
        </w:rPr>
        <w:t>CHU SOUSS-MASSA</w:t>
      </w:r>
    </w:p>
    <w:p w:rsidR="003412F5" w:rsidRDefault="00D96359">
      <w:pPr>
        <w:spacing w:after="0"/>
        <w:jc w:val="center"/>
        <w:rPr>
          <w:sz w:val="14"/>
          <w:szCs w:val="14"/>
        </w:rPr>
      </w:pPr>
      <w:r>
        <w:rPr>
          <w:sz w:val="14"/>
          <w:szCs w:val="14"/>
        </w:rPr>
        <w:t xml:space="preserve">Faculté de </w:t>
      </w:r>
      <w:r>
        <w:rPr>
          <w:sz w:val="14"/>
          <w:szCs w:val="14"/>
        </w:rPr>
        <w:t>médecine et de pharmacie d’AGADIR</w:t>
      </w:r>
    </w:p>
    <w:p w:rsidR="003412F5" w:rsidRDefault="00D96359">
      <w:pPr>
        <w:spacing w:after="0"/>
        <w:jc w:val="center"/>
        <w:rPr>
          <w:sz w:val="14"/>
          <w:szCs w:val="14"/>
        </w:rPr>
      </w:pPr>
      <w:proofErr w:type="spellStart"/>
      <w:proofErr w:type="gramStart"/>
      <w:r>
        <w:rPr>
          <w:sz w:val="14"/>
          <w:szCs w:val="14"/>
        </w:rPr>
        <w:t>septeembre</w:t>
      </w:r>
      <w:proofErr w:type="spellEnd"/>
      <w:proofErr w:type="gramEnd"/>
      <w:r>
        <w:rPr>
          <w:sz w:val="14"/>
          <w:szCs w:val="14"/>
        </w:rPr>
        <w:t xml:space="preserve"> 2026</w:t>
      </w:r>
    </w:p>
    <w:p w:rsidR="003412F5" w:rsidRDefault="003412F5">
      <w:pPr>
        <w:jc w:val="both"/>
        <w:rPr>
          <w:sz w:val="18"/>
          <w:szCs w:val="18"/>
        </w:rPr>
      </w:pPr>
    </w:p>
    <w:sectPr w:rsidR="003412F5">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359" w:rsidRDefault="00D96359">
      <w:pPr>
        <w:spacing w:after="0"/>
      </w:pPr>
      <w:r>
        <w:separator/>
      </w:r>
    </w:p>
  </w:endnote>
  <w:endnote w:type="continuationSeparator" w:id="0">
    <w:p w:rsidR="00D96359" w:rsidRDefault="00D9635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359" w:rsidRDefault="00D96359">
      <w:pPr>
        <w:spacing w:after="0"/>
      </w:pPr>
      <w:r>
        <w:rPr>
          <w:color w:val="000000"/>
        </w:rPr>
        <w:separator/>
      </w:r>
    </w:p>
  </w:footnote>
  <w:footnote w:type="continuationSeparator" w:id="0">
    <w:p w:rsidR="00D96359" w:rsidRDefault="00D9635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154D40"/>
    <w:multiLevelType w:val="multilevel"/>
    <w:tmpl w:val="B31CD8EC"/>
    <w:lvl w:ilvl="0">
      <w:start w:val="1"/>
      <w:numFmt w:val="upperRoman"/>
      <w:lvlText w:val="%1."/>
      <w:lvlJc w:val="left"/>
      <w:pPr>
        <w:ind w:left="1145" w:hanging="720"/>
      </w:pPr>
      <w:rPr>
        <w:b/>
        <w:bCs/>
        <w:color w:val="EE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3412F5"/>
    <w:rsid w:val="003412F5"/>
    <w:rsid w:val="00B93EDB"/>
    <w:rsid w:val="00D9635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Aptos" w:hAnsi="Aptos" w:cs="Arial"/>
        <w:kern w:val="3"/>
        <w:sz w:val="22"/>
        <w:szCs w:val="22"/>
        <w:lang w:val="fr-FR" w:eastAsia="en-US" w:bidi="ar-SA"/>
      </w:rPr>
    </w:rPrDefault>
    <w:pPrDefault>
      <w:pPr>
        <w:autoSpaceDN w:val="0"/>
        <w:spacing w:after="16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re3">
    <w:name w:val="Titre 3"/>
    <w:basedOn w:val="Normal"/>
    <w:pPr>
      <w:spacing w:before="100" w:after="100"/>
      <w:outlineLvl w:val="2"/>
    </w:pPr>
    <w:rPr>
      <w:rFonts w:ascii="Times New Roman" w:eastAsia="Times New Roman" w:hAnsi="Times New Roman" w:cs="Times New Roman"/>
      <w:b/>
      <w:bCs/>
      <w:kern w:val="0"/>
      <w:sz w:val="27"/>
      <w:szCs w:val="27"/>
      <w:lang w:eastAsia="fr-FR"/>
    </w:rPr>
  </w:style>
  <w:style w:type="paragraph" w:customStyle="1" w:styleId="Titre4">
    <w:name w:val="Titre 4"/>
    <w:basedOn w:val="Normal"/>
    <w:pPr>
      <w:spacing w:before="100" w:after="100"/>
      <w:outlineLvl w:val="3"/>
    </w:pPr>
    <w:rPr>
      <w:rFonts w:ascii="Times New Roman" w:eastAsia="Times New Roman" w:hAnsi="Times New Roman" w:cs="Times New Roman"/>
      <w:b/>
      <w:bCs/>
      <w:kern w:val="0"/>
      <w:sz w:val="24"/>
      <w:szCs w:val="24"/>
      <w:lang w:eastAsia="fr-FR"/>
    </w:rPr>
  </w:style>
  <w:style w:type="character" w:customStyle="1" w:styleId="Policepardfaut">
    <w:name w:val="Police par défaut"/>
  </w:style>
  <w:style w:type="paragraph" w:customStyle="1" w:styleId="Paragraphedeliste">
    <w:name w:val="Paragraphe de liste"/>
    <w:basedOn w:val="Normal"/>
    <w:pPr>
      <w:ind w:left="720"/>
    </w:pPr>
  </w:style>
  <w:style w:type="character" w:customStyle="1" w:styleId="Titre3Car">
    <w:name w:val="Titre 3 Car"/>
    <w:basedOn w:val="Policepardfaut"/>
    <w:rPr>
      <w:rFonts w:ascii="Times New Roman" w:eastAsia="Times New Roman" w:hAnsi="Times New Roman" w:cs="Times New Roman"/>
      <w:b/>
      <w:bCs/>
      <w:kern w:val="0"/>
      <w:sz w:val="27"/>
      <w:szCs w:val="27"/>
      <w:lang w:eastAsia="fr-FR"/>
    </w:rPr>
  </w:style>
  <w:style w:type="character" w:customStyle="1" w:styleId="Titre4Car">
    <w:name w:val="Titre 4 Car"/>
    <w:basedOn w:val="Policepardfaut"/>
    <w:rPr>
      <w:rFonts w:ascii="Times New Roman" w:eastAsia="Times New Roman" w:hAnsi="Times New Roman" w:cs="Times New Roman"/>
      <w:b/>
      <w:bCs/>
      <w:kern w:val="0"/>
      <w:sz w:val="24"/>
      <w:szCs w:val="24"/>
      <w:lang w:eastAsia="fr-FR"/>
    </w:rPr>
  </w:style>
  <w:style w:type="paragraph" w:styleId="NormalWeb">
    <w:name w:val="Normal (Web)"/>
    <w:basedOn w:val="Normal"/>
    <w:pPr>
      <w:spacing w:before="100" w:after="100"/>
    </w:pPr>
    <w:rPr>
      <w:rFonts w:ascii="Times New Roman" w:eastAsia="Times New Roman" w:hAnsi="Times New Roman" w:cs="Times New Roman"/>
      <w:kern w:val="0"/>
      <w:sz w:val="24"/>
      <w:szCs w:val="24"/>
      <w:lang w:eastAsia="fr-FR"/>
    </w:rPr>
  </w:style>
  <w:style w:type="paragraph" w:styleId="BalloonText">
    <w:name w:val="Balloon Text"/>
    <w:basedOn w:val="Normal"/>
    <w:link w:val="BalloonTextChar"/>
    <w:uiPriority w:val="99"/>
    <w:semiHidden/>
    <w:unhideWhenUsed/>
    <w:rsid w:val="00B93ED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3E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Aptos" w:hAnsi="Aptos" w:cs="Arial"/>
        <w:kern w:val="3"/>
        <w:sz w:val="22"/>
        <w:szCs w:val="22"/>
        <w:lang w:val="fr-FR" w:eastAsia="en-US" w:bidi="ar-SA"/>
      </w:rPr>
    </w:rPrDefault>
    <w:pPrDefault>
      <w:pPr>
        <w:autoSpaceDN w:val="0"/>
        <w:spacing w:after="16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re3">
    <w:name w:val="Titre 3"/>
    <w:basedOn w:val="Normal"/>
    <w:pPr>
      <w:spacing w:before="100" w:after="100"/>
      <w:outlineLvl w:val="2"/>
    </w:pPr>
    <w:rPr>
      <w:rFonts w:ascii="Times New Roman" w:eastAsia="Times New Roman" w:hAnsi="Times New Roman" w:cs="Times New Roman"/>
      <w:b/>
      <w:bCs/>
      <w:kern w:val="0"/>
      <w:sz w:val="27"/>
      <w:szCs w:val="27"/>
      <w:lang w:eastAsia="fr-FR"/>
    </w:rPr>
  </w:style>
  <w:style w:type="paragraph" w:customStyle="1" w:styleId="Titre4">
    <w:name w:val="Titre 4"/>
    <w:basedOn w:val="Normal"/>
    <w:pPr>
      <w:spacing w:before="100" w:after="100"/>
      <w:outlineLvl w:val="3"/>
    </w:pPr>
    <w:rPr>
      <w:rFonts w:ascii="Times New Roman" w:eastAsia="Times New Roman" w:hAnsi="Times New Roman" w:cs="Times New Roman"/>
      <w:b/>
      <w:bCs/>
      <w:kern w:val="0"/>
      <w:sz w:val="24"/>
      <w:szCs w:val="24"/>
      <w:lang w:eastAsia="fr-FR"/>
    </w:rPr>
  </w:style>
  <w:style w:type="character" w:customStyle="1" w:styleId="Policepardfaut">
    <w:name w:val="Police par défaut"/>
  </w:style>
  <w:style w:type="paragraph" w:customStyle="1" w:styleId="Paragraphedeliste">
    <w:name w:val="Paragraphe de liste"/>
    <w:basedOn w:val="Normal"/>
    <w:pPr>
      <w:ind w:left="720"/>
    </w:pPr>
  </w:style>
  <w:style w:type="character" w:customStyle="1" w:styleId="Titre3Car">
    <w:name w:val="Titre 3 Car"/>
    <w:basedOn w:val="Policepardfaut"/>
    <w:rPr>
      <w:rFonts w:ascii="Times New Roman" w:eastAsia="Times New Roman" w:hAnsi="Times New Roman" w:cs="Times New Roman"/>
      <w:b/>
      <w:bCs/>
      <w:kern w:val="0"/>
      <w:sz w:val="27"/>
      <w:szCs w:val="27"/>
      <w:lang w:eastAsia="fr-FR"/>
    </w:rPr>
  </w:style>
  <w:style w:type="character" w:customStyle="1" w:styleId="Titre4Car">
    <w:name w:val="Titre 4 Car"/>
    <w:basedOn w:val="Policepardfaut"/>
    <w:rPr>
      <w:rFonts w:ascii="Times New Roman" w:eastAsia="Times New Roman" w:hAnsi="Times New Roman" w:cs="Times New Roman"/>
      <w:b/>
      <w:bCs/>
      <w:kern w:val="0"/>
      <w:sz w:val="24"/>
      <w:szCs w:val="24"/>
      <w:lang w:eastAsia="fr-FR"/>
    </w:rPr>
  </w:style>
  <w:style w:type="paragraph" w:styleId="NormalWeb">
    <w:name w:val="Normal (Web)"/>
    <w:basedOn w:val="Normal"/>
    <w:pPr>
      <w:spacing w:before="100" w:after="100"/>
    </w:pPr>
    <w:rPr>
      <w:rFonts w:ascii="Times New Roman" w:eastAsia="Times New Roman" w:hAnsi="Times New Roman" w:cs="Times New Roman"/>
      <w:kern w:val="0"/>
      <w:sz w:val="24"/>
      <w:szCs w:val="24"/>
      <w:lang w:eastAsia="fr-FR"/>
    </w:rPr>
  </w:style>
  <w:style w:type="paragraph" w:styleId="BalloonText">
    <w:name w:val="Balloon Text"/>
    <w:basedOn w:val="Normal"/>
    <w:link w:val="BalloonTextChar"/>
    <w:uiPriority w:val="99"/>
    <w:semiHidden/>
    <w:unhideWhenUsed/>
    <w:rsid w:val="00B93ED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3E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1174</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mustapha najmi</dc:creator>
  <cp:lastModifiedBy>hp</cp:lastModifiedBy>
  <cp:revision>2</cp:revision>
  <dcterms:created xsi:type="dcterms:W3CDTF">2026-09-28T11:22:00Z</dcterms:created>
  <dcterms:modified xsi:type="dcterms:W3CDTF">2026-09-28T11:22:00Z</dcterms:modified>
</cp:coreProperties>
</file>