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B9D98" w14:textId="1CA9F03A" w:rsidR="00001789" w:rsidRDefault="00001789">
      <w:pPr>
        <w:pStyle w:val="Titre1"/>
      </w:pPr>
      <w:r w:rsidRPr="00001789">
        <w:rPr>
          <w:noProof/>
        </w:rPr>
        <w:drawing>
          <wp:inline distT="0" distB="0" distL="0" distR="0" wp14:anchorId="3E71966C" wp14:editId="4EE9FD80">
            <wp:extent cx="6377940" cy="2787650"/>
            <wp:effectExtent l="0" t="0" r="3810" b="0"/>
            <wp:docPr id="4593482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48260" name=""/>
                    <pic:cNvPicPr/>
                  </pic:nvPicPr>
                  <pic:blipFill>
                    <a:blip r:embed="rId5"/>
                    <a:stretch>
                      <a:fillRect/>
                    </a:stretch>
                  </pic:blipFill>
                  <pic:spPr>
                    <a:xfrm>
                      <a:off x="0" y="0"/>
                      <a:ext cx="6377940" cy="2787650"/>
                    </a:xfrm>
                    <a:prstGeom prst="rect">
                      <a:avLst/>
                    </a:prstGeom>
                  </pic:spPr>
                </pic:pic>
              </a:graphicData>
            </a:graphic>
          </wp:inline>
        </w:drawing>
      </w:r>
    </w:p>
    <w:p w14:paraId="5DD996B7" w14:textId="547EB892" w:rsidR="007E7F73" w:rsidRDefault="00000000">
      <w:pPr>
        <w:pStyle w:val="Titre1"/>
      </w:pPr>
      <w:r>
        <w:t>I. Introduction</w:t>
      </w:r>
    </w:p>
    <w:p w14:paraId="7F77E163" w14:textId="2AD74B4B" w:rsidR="007E7F73" w:rsidRDefault="00000000">
      <w:pPr>
        <w:spacing w:after="160"/>
        <w:jc w:val="both"/>
      </w:pPr>
      <w:r>
        <w:t xml:space="preserve">Les crises non épileptiques psychogènes (CNEP) sont des troubles </w:t>
      </w:r>
      <w:proofErr w:type="spellStart"/>
      <w:r>
        <w:t>neurobéhavioraux</w:t>
      </w:r>
      <w:proofErr w:type="spellEnd"/>
      <w:r>
        <w:t xml:space="preserve"> paroxystiques — moteurs, non moteurs ou comportementaux — qui miment des crises épileptiques en l'absence de corrélats électroencéphalographiques (EEG). Selon le Manuel diagnostique et statistique des troubles mentaux</w:t>
      </w:r>
      <w:r w:rsidR="00001789">
        <w:t xml:space="preserve"> </w:t>
      </w:r>
      <w:r>
        <w:t>(DSM-5), les CNEP constituent un sous-groupe des troubles de conversion (TC) ; la Classification internationale des maladies</w:t>
      </w:r>
      <w:r w:rsidR="00001789">
        <w:t xml:space="preserve"> </w:t>
      </w:r>
      <w:r>
        <w:t>(CIM-10) les classe parmi les troubles dissociatifs. Leur incidence est estimée entre 1,4 et 4,9 pour 100 000 personnes par an, avec une prévalence comprise entre 2 et 33 pour 100 000.</w:t>
      </w:r>
    </w:p>
    <w:p w14:paraId="350E9D49" w14:textId="77777777" w:rsidR="007E7F73" w:rsidRDefault="00000000">
      <w:pPr>
        <w:spacing w:after="160"/>
        <w:jc w:val="both"/>
      </w:pPr>
      <w:r>
        <w:t>La Ligue internationale contre l'épilepsie (LICE) a identifié les CNEP comme l'une des dix conditions neuropsychiatriques les plus critiques associées à l'épilepsie. La coexistence épilepsie-CNEP, dite « double diagnostic », constitue un défi diagnostique et thérapeutique majeur : l'absence d'identification prompte des CNEP chez un patient épileptique peut conduire à des augmentations délétères de la posologie des médicaments anticrises (MAC) et à un diagnostic erroné d'épilepsie pharmaco-résistante — situation désignée sous le terme d'épilepsie pseudo-réfractaire. Un patient sur quatre à cinq hospitalisé pour une épilepsie présumée pharmaco-résistante est finalement diagnostiqué comme présentant des événements non épileptiques, majoritairement d'origine psychogène.</w:t>
      </w:r>
    </w:p>
    <w:p w14:paraId="0CB4B8FD" w14:textId="77777777" w:rsidR="007E7F73" w:rsidRDefault="00000000">
      <w:pPr>
        <w:pStyle w:val="Titre1"/>
      </w:pPr>
      <w:r>
        <w:t>II. Épidémiologie des crises non épileptiques psychogènes</w:t>
      </w:r>
    </w:p>
    <w:p w14:paraId="0C296F9F" w14:textId="77777777" w:rsidR="007E7F73" w:rsidRDefault="00000000">
      <w:pPr>
        <w:spacing w:after="160"/>
        <w:jc w:val="both"/>
      </w:pPr>
      <w:r>
        <w:t xml:space="preserve">Les CNEP représentent 5 à 10 % des consultants en épileptologie ambulatoire et 20 à 40 % des patients hospitalisés dans les unités de surveillance </w:t>
      </w:r>
      <w:proofErr w:type="spellStart"/>
      <w:r>
        <w:t>épileptologique</w:t>
      </w:r>
      <w:proofErr w:type="spellEnd"/>
      <w:r>
        <w:t xml:space="preserve">. Le trouble débute généralement au début de l'âge adulte, bien qu'il puisse survenir à tout âge. Le délai diagnostique est souvent significatif, conduisant à des traitements inappropriés prolongés. Les facteurs neurobiologiques, sociaux et de vulnérabilité individuelle expliquent la prédominance féminine. La prévalence de l'épilepsie chez les patients présentant des CNEP est estimée à environ 22 %, tandis que la prévalence des CNEP chez les épileptiques avoisine 12 %. Cette co-occurrence suggère que l'épilepsie elle-même constitue un facteur de risque de développement </w:t>
      </w:r>
      <w:r>
        <w:lastRenderedPageBreak/>
        <w:t>de CNEP, notamment par des mécanismes biologiques prédisposants et par le phénomène d'apprentissage par modèle.</w:t>
      </w:r>
    </w:p>
    <w:p w14:paraId="2CABD299" w14:textId="77777777" w:rsidR="007E7F73" w:rsidRDefault="00000000">
      <w:pPr>
        <w:pStyle w:val="Titre1"/>
      </w:pPr>
      <w:r>
        <w:t>III. Classifications des crises non épileptiques psychogènes</w:t>
      </w:r>
    </w:p>
    <w:p w14:paraId="56BAF506" w14:textId="77777777" w:rsidR="007E7F73" w:rsidRDefault="00000000">
      <w:pPr>
        <w:spacing w:after="160"/>
        <w:jc w:val="both"/>
      </w:pPr>
      <w:r>
        <w:t xml:space="preserve">Plusieurs systèmes classificatoires sémiologiques ont été proposés. </w:t>
      </w:r>
      <w:proofErr w:type="spellStart"/>
      <w:r>
        <w:t>Gröppel</w:t>
      </w:r>
      <w:proofErr w:type="spellEnd"/>
      <w:r>
        <w:t xml:space="preserve"> et al. </w:t>
      </w:r>
      <w:proofErr w:type="gramStart"/>
      <w:r>
        <w:t>ont</w:t>
      </w:r>
      <w:proofErr w:type="gramEnd"/>
      <w:r>
        <w:t xml:space="preserve"> distingué trois types : les formes motrices majeures, les formes motrices mineures (tremblement) et les crises atoniques psychogènes. Selwa et al. </w:t>
      </w:r>
      <w:proofErr w:type="gramStart"/>
      <w:r>
        <w:t>ont</w:t>
      </w:r>
      <w:proofErr w:type="gramEnd"/>
      <w:r>
        <w:t xml:space="preserve"> proposé six catégories (catatoniques, « </w:t>
      </w:r>
      <w:proofErr w:type="spellStart"/>
      <w:r>
        <w:t>trashing</w:t>
      </w:r>
      <w:proofErr w:type="spellEnd"/>
      <w:r>
        <w:t xml:space="preserve"> », automatismes, tremblement, intermittentes, subjectives). Seneviratne et al. </w:t>
      </w:r>
      <w:proofErr w:type="gramStart"/>
      <w:r>
        <w:t>ont</w:t>
      </w:r>
      <w:proofErr w:type="gramEnd"/>
      <w:r>
        <w:t xml:space="preserve"> établi six sous-types (rythmiques motrices, </w:t>
      </w:r>
      <w:proofErr w:type="spellStart"/>
      <w:r>
        <w:t>hypermotrices</w:t>
      </w:r>
      <w:proofErr w:type="spellEnd"/>
      <w:r>
        <w:t xml:space="preserve">, complexes motrices, </w:t>
      </w:r>
      <w:proofErr w:type="spellStart"/>
      <w:r>
        <w:t>dialeptiques</w:t>
      </w:r>
      <w:proofErr w:type="spellEnd"/>
      <w:r>
        <w:t xml:space="preserve">, auras non épileptiques, mixtes). Hubsch et al. </w:t>
      </w:r>
      <w:proofErr w:type="gramStart"/>
      <w:r>
        <w:t>ont</w:t>
      </w:r>
      <w:proofErr w:type="gramEnd"/>
      <w:r>
        <w:t xml:space="preserve"> identifié cinq sous-types par analyse en clusters : attaques dystoniques avec activité gestuelle primitive, attaques </w:t>
      </w:r>
      <w:proofErr w:type="spellStart"/>
      <w:r>
        <w:t>paucicinétiques</w:t>
      </w:r>
      <w:proofErr w:type="spellEnd"/>
      <w:r>
        <w:t xml:space="preserve"> à réactivité préservée, </w:t>
      </w:r>
      <w:proofErr w:type="spellStart"/>
      <w:r>
        <w:t>pseudosyncopes</w:t>
      </w:r>
      <w:proofErr w:type="spellEnd"/>
      <w:r>
        <w:t xml:space="preserve">, attaques </w:t>
      </w:r>
      <w:proofErr w:type="spellStart"/>
      <w:r>
        <w:t>hypercinétiques</w:t>
      </w:r>
      <w:proofErr w:type="spellEnd"/>
      <w:r>
        <w:t xml:space="preserve"> prolongées avec hyperventilation et auras, et attaques dystoniques axiales prolongées. Dhiman et al. </w:t>
      </w:r>
      <w:proofErr w:type="gramStart"/>
      <w:r>
        <w:t>ont</w:t>
      </w:r>
      <w:proofErr w:type="gramEnd"/>
      <w:r>
        <w:t xml:space="preserve"> proposé cinq catégories pédiatriques adaptées. Enfin, </w:t>
      </w:r>
      <w:proofErr w:type="spellStart"/>
      <w:r>
        <w:t>Magaudda</w:t>
      </w:r>
      <w:proofErr w:type="spellEnd"/>
      <w:r>
        <w:t xml:space="preserve"> et al. </w:t>
      </w:r>
      <w:proofErr w:type="gramStart"/>
      <w:r>
        <w:t>ont</w:t>
      </w:r>
      <w:proofErr w:type="gramEnd"/>
      <w:r>
        <w:t xml:space="preserve"> proposé en 2016 une classification pratique en quatre catégories calquées sur celles des crises épileptiques vraies : </w:t>
      </w:r>
      <w:proofErr w:type="spellStart"/>
      <w:r>
        <w:t>hypermotrices</w:t>
      </w:r>
      <w:proofErr w:type="spellEnd"/>
      <w:r>
        <w:t>, akinétiques, focales motrices et à symptômes subjectifs — classification jugée la plus utile pour la standardisation des études futures.</w:t>
      </w:r>
    </w:p>
    <w:p w14:paraId="5D56BEEB" w14:textId="77777777" w:rsidR="007E7F73" w:rsidRDefault="00000000">
      <w:pPr>
        <w:spacing w:after="160"/>
        <w:jc w:val="both"/>
      </w:pPr>
      <w:r>
        <w:t>En pratique, l'ensemble de ces classifications peut être ramené à une dichotomie : CNEP motrices versus non motrices, avec ou sans altération de la réactivité.</w:t>
      </w:r>
    </w:p>
    <w:p w14:paraId="63E7321C" w14:textId="77777777" w:rsidR="007E7F73" w:rsidRDefault="00000000">
      <w:pPr>
        <w:pStyle w:val="Titre1"/>
      </w:pPr>
      <w:r>
        <w:t>IV. Physiopathologie des crises non épileptiques psychogènes</w:t>
      </w:r>
    </w:p>
    <w:p w14:paraId="377A35DD" w14:textId="77777777" w:rsidR="007E7F73" w:rsidRDefault="00000000">
      <w:pPr>
        <w:pStyle w:val="Titre2"/>
      </w:pPr>
      <w:r>
        <w:t>A. Aspects psychopathologiques</w:t>
      </w:r>
    </w:p>
    <w:p w14:paraId="66712305" w14:textId="77777777" w:rsidR="007E7F73" w:rsidRDefault="00000000">
      <w:pPr>
        <w:spacing w:after="160"/>
        <w:jc w:val="both"/>
      </w:pPr>
      <w:r>
        <w:t xml:space="preserve">La dissociation est considérée comme un mécanisme clé des CNEP. Selon le DSM-5, la dissociation se définit comme une rupture et/ou une discontinuité dans l'intégration normale de la conscience, de la mémoire, de l'identité, des émotions, de la perception, de la représentation corporelle, du contrôle moteur et du comportement. Quatre modèles </w:t>
      </w:r>
      <w:proofErr w:type="spellStart"/>
      <w:r>
        <w:t>étiopathogéniques</w:t>
      </w:r>
      <w:proofErr w:type="spellEnd"/>
      <w:r>
        <w:t xml:space="preserve"> ont été proposés : le modèle freudien (expression somatique d'un conflit émotionnel), le modèle de Moore et Baker (comportement appris par conditionnement opérant), le modèle dissociatif de Bowman (mémoires dissociées activées par un événement traumatique) et le modèle de </w:t>
      </w:r>
      <w:proofErr w:type="spellStart"/>
      <w:r>
        <w:t>Baslet</w:t>
      </w:r>
      <w:proofErr w:type="spellEnd"/>
      <w:r>
        <w:t xml:space="preserve"> (réponse dissociative aiguë à une menace ou à un état d'éveil intense).</w:t>
      </w:r>
    </w:p>
    <w:p w14:paraId="1D595873" w14:textId="77777777" w:rsidR="007E7F73" w:rsidRDefault="00000000">
      <w:pPr>
        <w:spacing w:after="160"/>
        <w:jc w:val="both"/>
      </w:pPr>
      <w:r>
        <w:t>Le modèle cognitif intégré (MCI) de Brown et Reuber représente l'avancée conceptuelle la plus récente. Selon ce modèle, les CNEP résultent de l'activation automatique de représentations mnésiques de crises (le « squelette de crise ») en réponse à des stimuli internes ou externes. Pour un stimulus familier, le réseau mnésique génère l'exécution automatique d'un programme moteur ; pour un stimulus non familier, une réponse non automatique est produite. En cas de CNEP, une représentation erronée ou « déviante » entraîne une réponse automatique inadaptée, vécue comme involontaire. Le couplage anormal entre déclencheurs émotionnels et réponses comportementales automatiques est la pierre angulaire de ce modèle, qui rapproche la physiopathologie des CNEP de celle du conditionnement classique.</w:t>
      </w:r>
    </w:p>
    <w:p w14:paraId="07A30142" w14:textId="77777777" w:rsidR="007E7F73" w:rsidRDefault="00000000">
      <w:pPr>
        <w:pStyle w:val="Titre2"/>
      </w:pPr>
      <w:r>
        <w:t>B. Neurobiologie des crises non épileptiques psychogènes</w:t>
      </w:r>
    </w:p>
    <w:p w14:paraId="1373ED69" w14:textId="77777777" w:rsidR="007E7F73" w:rsidRDefault="00000000">
      <w:pPr>
        <w:pStyle w:val="Titre3"/>
      </w:pPr>
      <w:r>
        <w:t>Modifications morphologiques cérébrales</w:t>
      </w:r>
    </w:p>
    <w:p w14:paraId="6167A3F8" w14:textId="77777777" w:rsidR="007E7F73" w:rsidRDefault="00000000">
      <w:pPr>
        <w:spacing w:after="160"/>
        <w:jc w:val="both"/>
      </w:pPr>
      <w:r>
        <w:lastRenderedPageBreak/>
        <w:t xml:space="preserve">Deux études morphométriques ont examiné les modifications structurelles cérébrales dans les CNEP. Labate et al. </w:t>
      </w:r>
      <w:proofErr w:type="gramStart"/>
      <w:r>
        <w:t>ont</w:t>
      </w:r>
      <w:proofErr w:type="gramEnd"/>
      <w:r>
        <w:t xml:space="preserve"> identifié des réductions de volume de la substance grise dans le cervelet, les gyri précentral et frontal moyen droits, le cortex cingulaire antérieur droit et l'aire motrice supplémentaire droite, ainsi qu'un amincissement cortical dans plusieurs régions droites. Ristic et al. </w:t>
      </w:r>
      <w:proofErr w:type="gramStart"/>
      <w:r>
        <w:t>ont</w:t>
      </w:r>
      <w:proofErr w:type="gramEnd"/>
      <w:r>
        <w:t xml:space="preserve"> retrouvé une augmentation de l'épaisseur corticale dans l'insula gauche et les régions orbitofrontales médianes bilatérales, associée à une diminution dans les gyri précentraux et d'autres régions. Ces deux études s'accordent sur la présence d'un amincissement cortical régional chez les patients avec CNEP.</w:t>
      </w:r>
    </w:p>
    <w:p w14:paraId="600A3E3A" w14:textId="77777777" w:rsidR="007E7F73" w:rsidRDefault="00000000">
      <w:pPr>
        <w:pStyle w:val="Titre3"/>
      </w:pPr>
      <w:r>
        <w:t>Connectivité structurale et fonctionnelle</w:t>
      </w:r>
    </w:p>
    <w:p w14:paraId="04022ECF" w14:textId="77777777" w:rsidR="007E7F73" w:rsidRDefault="00000000">
      <w:pPr>
        <w:spacing w:after="160"/>
        <w:jc w:val="both"/>
      </w:pPr>
      <w:r>
        <w:t xml:space="preserve">Les études par imagerie par tenseur de diffusion (ITD) ont mis en évidence une latéralisation de la connectivité du faisceau unciné. Une </w:t>
      </w:r>
      <w:proofErr w:type="spellStart"/>
      <w:r>
        <w:t>hyperconnectivité</w:t>
      </w:r>
      <w:proofErr w:type="spellEnd"/>
      <w:r>
        <w:t xml:space="preserve"> relative entre les régions préfrontales et limbiques a été observée, suggérant une dysrégulation émotionnelle. Les études par imagerie par résonance magnétique fonctionnelle au repos (IRMf-repos) ont révélé une instabilité des réseaux cérébraux et des modifications distinctes des patrons de connectivité fonctionnelle, notamment dans les réseaux frontaux, </w:t>
      </w:r>
      <w:proofErr w:type="spellStart"/>
      <w:r>
        <w:t>sensoriomoteurs</w:t>
      </w:r>
      <w:proofErr w:type="spellEnd"/>
      <w:r>
        <w:t>, cingulaires, insulaires et occipitaux. Une activation accrue de la connectivité entre l'insula et les régions pariétales associatives impliquées dans la planification motrice a été identifiée, soutenant le MCI. Les patients avec CNEP présentent également une diminution de l'activité du gyrus frontal inférieur triangulaire droit — région impliquée dans l'inhibition des réponses — suggérant une incapacité à inhiber les comportements en réponse aux stimuli émotionnels.</w:t>
      </w:r>
    </w:p>
    <w:p w14:paraId="62CA78B7" w14:textId="77777777" w:rsidR="007E7F73" w:rsidRDefault="00000000">
      <w:pPr>
        <w:pStyle w:val="Titre3"/>
      </w:pPr>
      <w:r>
        <w:t xml:space="preserve">Données de tomographie par émission de positons et de tomographie par émission </w:t>
      </w:r>
      <w:proofErr w:type="spellStart"/>
      <w:r>
        <w:t>monophotonique</w:t>
      </w:r>
      <w:proofErr w:type="spellEnd"/>
    </w:p>
    <w:p w14:paraId="0C85E331" w14:textId="77777777" w:rsidR="007E7F73" w:rsidRDefault="00000000">
      <w:pPr>
        <w:spacing w:after="160"/>
        <w:jc w:val="both"/>
      </w:pPr>
      <w:r>
        <w:t xml:space="preserve">La tomographie par émission de positons (TEP) au </w:t>
      </w:r>
      <w:proofErr w:type="spellStart"/>
      <w:r>
        <w:t>fluorodésoxyglucose</w:t>
      </w:r>
      <w:proofErr w:type="spellEnd"/>
      <w:r>
        <w:t xml:space="preserve"> (FDG) a mis en évidence un hypométabolisme dans les régions pariétales inférieures droites et dans le cortex cingulaire antérieur bilatéral, étayant les mécanismes de dysrégulation émotionnelle et d'altération de la conscience de soi. Les données de tomographie par émission </w:t>
      </w:r>
      <w:proofErr w:type="spellStart"/>
      <w:r>
        <w:t>monophotonique</w:t>
      </w:r>
      <w:proofErr w:type="spellEnd"/>
      <w:r>
        <w:t xml:space="preserve"> (TEMP) en période post-</w:t>
      </w:r>
      <w:proofErr w:type="spellStart"/>
      <w:r>
        <w:t>ictale</w:t>
      </w:r>
      <w:proofErr w:type="spellEnd"/>
      <w:r>
        <w:t xml:space="preserve"> sont prometteuses mais limitées par la petite taille des cohortes et la fréquente comorbidité psychiatrique. La neuroimagerie constitue actuellement un marqueur diagnostique d'une valeur limitée pour les CNEP.</w:t>
      </w:r>
    </w:p>
    <w:p w14:paraId="0769990F" w14:textId="77777777" w:rsidR="007E7F73" w:rsidRDefault="00000000">
      <w:pPr>
        <w:pStyle w:val="Titre3"/>
      </w:pPr>
      <w:r>
        <w:t>Facteurs génétiques</w:t>
      </w:r>
    </w:p>
    <w:p w14:paraId="79218826" w14:textId="77777777" w:rsidR="007E7F73" w:rsidRDefault="00000000">
      <w:pPr>
        <w:spacing w:after="160"/>
        <w:jc w:val="both"/>
      </w:pPr>
      <w:r>
        <w:t>La génétique des CNEP est un domaine émergent ; aucune mutation spécifique n'a été identifiée à ce jour. Des études sur les polymorphismes nucléotidiques simples associés à des troubles psychiatriques (trouble du spectre autistique, trouble déficit de l'attention avec hyperactivité, trouble bipolaire, dépression majeure, schizophrénie) suggèrent l'existence de facteurs de risque génétiques partagés. Le seul facteur de risque génétique reconnu pour les CNEP est le genre féminin.</w:t>
      </w:r>
    </w:p>
    <w:p w14:paraId="16710062" w14:textId="77777777" w:rsidR="007E7F73" w:rsidRDefault="00000000">
      <w:pPr>
        <w:pStyle w:val="Titre1"/>
      </w:pPr>
      <w:r>
        <w:t>V. Diagnostic</w:t>
      </w:r>
    </w:p>
    <w:p w14:paraId="08287CB5" w14:textId="77777777" w:rsidR="007E7F73" w:rsidRDefault="00000000">
      <w:pPr>
        <w:pStyle w:val="Titre2"/>
      </w:pPr>
      <w:r>
        <w:t>A. Importance du diagnostic précoce</w:t>
      </w:r>
    </w:p>
    <w:p w14:paraId="1444DBB6" w14:textId="77777777" w:rsidR="007E7F73" w:rsidRDefault="00000000">
      <w:pPr>
        <w:spacing w:after="160"/>
        <w:jc w:val="both"/>
      </w:pPr>
      <w:r>
        <w:t xml:space="preserve">Le diagnostic précoce des CNEP conditionne le pronostic. Les MAC sont inefficaces dans les CNEP et peuvent en aggraver l'évolution. Selon les recommandations de la National Association of </w:t>
      </w:r>
      <w:proofErr w:type="spellStart"/>
      <w:r>
        <w:t>Epilepsy</w:t>
      </w:r>
      <w:proofErr w:type="spellEnd"/>
      <w:r>
        <w:t xml:space="preserve"> Centers (NAEC), tout patient suspect de CNEP doit être adressé rapidement à un centre spécialisé en épilepsie. La règle des « 2 s » </w:t>
      </w:r>
      <w:r>
        <w:lastRenderedPageBreak/>
        <w:t xml:space="preserve">constitue un outil clinique simple : la présence d'au moins deux électroencéphalogrammes (EEG) </w:t>
      </w:r>
      <w:proofErr w:type="spellStart"/>
      <w:r>
        <w:t>interictaux</w:t>
      </w:r>
      <w:proofErr w:type="spellEnd"/>
      <w:r>
        <w:t xml:space="preserve"> normaux, d'au moins deux crises par semaine et d'une résistance à deux antiépileptiques génère une valeur prédictive positive de 85 % pour les CNEP.</w:t>
      </w:r>
    </w:p>
    <w:p w14:paraId="30AD922F" w14:textId="77777777" w:rsidR="007E7F73" w:rsidRDefault="00000000">
      <w:pPr>
        <w:pStyle w:val="Titre2"/>
      </w:pPr>
      <w:r>
        <w:t>B. Diagnostic différentiel clinique entre crises non épileptiques psychogènes et crises épileptiques</w:t>
      </w:r>
    </w:p>
    <w:p w14:paraId="0DCDF057" w14:textId="77777777" w:rsidR="007E7F73" w:rsidRDefault="00000000">
      <w:pPr>
        <w:spacing w:after="160"/>
        <w:jc w:val="both"/>
      </w:pPr>
      <w:r>
        <w:t xml:space="preserve">Plusieurs critères permettent d'orienter le diagnostic différentiel. La durée </w:t>
      </w:r>
      <w:proofErr w:type="spellStart"/>
      <w:r>
        <w:t>ictale</w:t>
      </w:r>
      <w:proofErr w:type="spellEnd"/>
      <w:r>
        <w:t xml:space="preserve"> constitue un critère utile : une crise épileptique atteint son pic clinique dans les 70 secondes et se termine en quelques minutes, tandis qu'un épisode de CNEP durant plus de 10 minutes est très évocateur. Les mouvements asynchrones des membres, les clonies en opposition de phase, les mouvements céphaliques latéraux, les mouvements pelviens, la posture dystonique corporelle et la fermeture des yeux durant la crise orientent vers les CNEP. En revanche, la crise </w:t>
      </w:r>
      <w:proofErr w:type="spellStart"/>
      <w:r>
        <w:t>tonico</w:t>
      </w:r>
      <w:proofErr w:type="spellEnd"/>
      <w:r>
        <w:t xml:space="preserve">-clonique généralisée épileptique (CTCG) suit une progression stéréotypée : vocalisation </w:t>
      </w:r>
      <w:proofErr w:type="spellStart"/>
      <w:r>
        <w:t>ictale</w:t>
      </w:r>
      <w:proofErr w:type="spellEnd"/>
      <w:r>
        <w:t xml:space="preserve"> initiale, adduction bilatérale avec rotation externe des membres, extension tonique des quatre membres, puis clonies diffuses. La vocalisation dans les CNEP peut survenir et persister tout au long de l'épisode, contrairement à l'épilepsie. Les auras, les symptômes subjectifs, l'incontinence urinaire, la survenue nocturne et les traumatismes </w:t>
      </w:r>
      <w:proofErr w:type="spellStart"/>
      <w:r>
        <w:t>ictaux</w:t>
      </w:r>
      <w:proofErr w:type="spellEnd"/>
      <w:r>
        <w:t xml:space="preserve"> sont plus fréquents dans l'épilepsie, bien qu'aucun de ces signes ne soit pathognomonique, plus d'un tiers des patients avec CNEP présentant ces mêmes symptômes.</w:t>
      </w:r>
    </w:p>
    <w:p w14:paraId="3089F639" w14:textId="20705065" w:rsidR="007E7F73" w:rsidRDefault="00000000">
      <w:pPr>
        <w:pStyle w:val="Titre2"/>
      </w:pPr>
      <w:r>
        <w:t xml:space="preserve">C. Vidéo-électroencéphalographie : </w:t>
      </w:r>
    </w:p>
    <w:p w14:paraId="37B7C086" w14:textId="77777777" w:rsidR="007E7F73" w:rsidRDefault="00000000">
      <w:pPr>
        <w:spacing w:after="160"/>
        <w:jc w:val="both"/>
      </w:pPr>
      <w:r>
        <w:t xml:space="preserve">La vidéo-EEG prolongée avec enregistrement </w:t>
      </w:r>
      <w:proofErr w:type="spellStart"/>
      <w:r>
        <w:t>ictal</w:t>
      </w:r>
      <w:proofErr w:type="spellEnd"/>
      <w:r>
        <w:t xml:space="preserve"> constitue l'examen de référence. Le diagnostic de CNEP peut être établi à quatre niveaux de certitude croissante : possible (anamnèse compatible, EEG </w:t>
      </w:r>
      <w:proofErr w:type="spellStart"/>
      <w:r>
        <w:t>interictal</w:t>
      </w:r>
      <w:proofErr w:type="spellEnd"/>
      <w:r>
        <w:t xml:space="preserve"> normal ou anormal), probable (sémiologie évocatrice observée par un clinicien ou en vidéo-EEG sans activité épileptiforme </w:t>
      </w:r>
      <w:proofErr w:type="spellStart"/>
      <w:r>
        <w:t>ictale</w:t>
      </w:r>
      <w:proofErr w:type="spellEnd"/>
      <w:r>
        <w:t xml:space="preserve">), cliniquement établi (examiné par un spécialiste en épilepsie, avec signes cliniques compatibles et absence d'activité épileptiforme à l'EEG), et documenté (diagnostic par un spécialiste confrontant sémiologie typique et absence d'activité épileptiforme à toutes les phases). Les procédures d'induction de crise présentent une bonne sensibilité et </w:t>
      </w:r>
      <w:proofErr w:type="gramStart"/>
      <w:r>
        <w:t>une excellente spécificité diagnostiques</w:t>
      </w:r>
      <w:proofErr w:type="gramEnd"/>
      <w:r>
        <w:t>, mais soulèvent des questions éthiques liées au degré de tromperie impliqué dans l'information délivrée au patient.</w:t>
      </w:r>
    </w:p>
    <w:p w14:paraId="1F61AA06" w14:textId="77777777" w:rsidR="007E7F73" w:rsidRDefault="00000000">
      <w:pPr>
        <w:pStyle w:val="Titre2"/>
      </w:pPr>
      <w:r>
        <w:t>D. Examens complémentaires diagnostiques</w:t>
      </w:r>
    </w:p>
    <w:p w14:paraId="00C47DC1" w14:textId="77777777" w:rsidR="007E7F73" w:rsidRDefault="00000000">
      <w:pPr>
        <w:spacing w:after="160"/>
        <w:jc w:val="both"/>
      </w:pPr>
      <w:r>
        <w:t>Plusieurs marqueurs biologiques et neuropsychologiques peuvent compléter la démarche diagnostique sans la remplacer. La prolactinémie (PRL) constitue le marqueur biologique le plus utile : l'absence d'élévation post-</w:t>
      </w:r>
      <w:proofErr w:type="spellStart"/>
      <w:r>
        <w:t>ictale</w:t>
      </w:r>
      <w:proofErr w:type="spellEnd"/>
      <w:r>
        <w:t xml:space="preserve"> de la PRL prédit les CNEP avec une sensibilité moyenne de 89 %. Un doublement des taux sériques de PRL 10 à 20 minutes après le début de l'événement </w:t>
      </w:r>
      <w:proofErr w:type="spellStart"/>
      <w:r>
        <w:t>ictal</w:t>
      </w:r>
      <w:proofErr w:type="spellEnd"/>
      <w:r>
        <w:t xml:space="preserve"> permet de distinguer l'épilepsie </w:t>
      </w:r>
      <w:proofErr w:type="spellStart"/>
      <w:r>
        <w:t>tonico</w:t>
      </w:r>
      <w:proofErr w:type="spellEnd"/>
      <w:r>
        <w:t>-clonique généralisée des CNEP. Le cortisol, la numération des leucocytes, la créatine kinase et l'</w:t>
      </w:r>
      <w:proofErr w:type="spellStart"/>
      <w:r>
        <w:t>énolase</w:t>
      </w:r>
      <w:proofErr w:type="spellEnd"/>
      <w:r>
        <w:t xml:space="preserve"> neurone-spécifique ont un faible pouvoir discriminant. La neuroimagerie est actuellement de valeur diagnostique modeste. Les tests neuropsychologiques permettent d'identifier des profils cognitifs, émotionnels et de personnalité caractéristiques — notamment un névrosisme élevé, une conscienciosité faible et une alexithymie (déficit dans la reconnaissance et la </w:t>
      </w:r>
      <w:r>
        <w:lastRenderedPageBreak/>
        <w:t>verbalisation des états émotionnels) — sans constituer en eux-mêmes des outils diagnostiques différentiels formels.</w:t>
      </w:r>
    </w:p>
    <w:p w14:paraId="0D18F2DD" w14:textId="77777777" w:rsidR="007E7F73" w:rsidRDefault="00000000">
      <w:pPr>
        <w:pStyle w:val="Titre1"/>
      </w:pPr>
      <w:r>
        <w:t>VI. Épilepsie et crises non épileptiques psychogènes : le « double diagnostic »</w:t>
      </w:r>
    </w:p>
    <w:p w14:paraId="1129C009" w14:textId="77777777" w:rsidR="007E7F73" w:rsidRDefault="00000000">
      <w:pPr>
        <w:spacing w:after="160"/>
        <w:jc w:val="both"/>
      </w:pPr>
      <w:r>
        <w:t>Environ 10 % des patients avec CNEP présentent également une épilepsie vraie. Les mécanismes supposés du développement de CNEP chez un épileptique incluent : les comorbidités psychiatriques liées à l'épilepsie, la présence d'un « squelette de crise » sur lequel se greffe la CNEP, et le développement de symptômes substitutifs (pour l'obtention de bénéfices secondaires tels qu'une attention renforcée de l'entourage ou un arrêt de travail). Le double diagnostic est plus difficile à établir que la CNEP isolée ; aucun marqueur neurobiologique ou neuropsychologique ne permet à lui seul de différencier ces patients des épileptiques purs ou des patients porteurs exclusivement de CNEP. Une fois le diagnostic posé correctement, la fréquence des crises et la posologie des MAC diminuent, soulignant l'importance d'une identification précoce.</w:t>
      </w:r>
    </w:p>
    <w:p w14:paraId="09B8DDA5" w14:textId="77777777" w:rsidR="007E7F73" w:rsidRDefault="00000000">
      <w:pPr>
        <w:pStyle w:val="Titre1"/>
      </w:pPr>
      <w:r>
        <w:t xml:space="preserve">VII. </w:t>
      </w:r>
      <w:proofErr w:type="spellStart"/>
      <w:r>
        <w:t>Pharmaco-résistance</w:t>
      </w:r>
      <w:proofErr w:type="spellEnd"/>
      <w:r>
        <w:t xml:space="preserve"> et épilepsie pseudo-réfractaire</w:t>
      </w:r>
    </w:p>
    <w:p w14:paraId="141BBFE6" w14:textId="77777777" w:rsidR="007E7F73" w:rsidRDefault="00000000">
      <w:pPr>
        <w:spacing w:after="160"/>
        <w:jc w:val="both"/>
      </w:pPr>
      <w:r>
        <w:t>L'épilepsie pharmaco-résistante est définie comme l'échec à obtenir une période durable sans crise malgré deux lignes de traitement par MAC (en monothérapie ou en association), correctement choisies, tolérées et titrées. La pseudo-</w:t>
      </w:r>
      <w:proofErr w:type="spellStart"/>
      <w:r>
        <w:t>réfractarité</w:t>
      </w:r>
      <w:proofErr w:type="spellEnd"/>
      <w:r>
        <w:t xml:space="preserve"> correspond, quant à elle, à une résistance au traitement imputable à des erreurs diagnostiques. Cette condition est relativement aisée à corriger, mais fréquemment sous-estimée en pratique clinique. La différenciation diagnostique entre épilepsie pseudo-réfractaire et épilepsie véritablement réfractaire est impérative afin d'éviter des traitements inutiles, les effets indésirables des MAC et la dégradation de la qualité de vie. Des recherches ultérieures sont nécessaires pour explorer plus précisément les aspects cliniques et les caractéristiques psychopathologiques de l'épilepsie pseudo-réfractaire.</w:t>
      </w:r>
    </w:p>
    <w:p w14:paraId="079D9830" w14:textId="77777777" w:rsidR="007E7F73" w:rsidRDefault="00000000">
      <w:pPr>
        <w:pStyle w:val="Titre1"/>
      </w:pPr>
      <w:r>
        <w:t>VIII. Prise en charge</w:t>
      </w:r>
    </w:p>
    <w:p w14:paraId="43E4190E" w14:textId="77777777" w:rsidR="007E7F73" w:rsidRDefault="00000000">
      <w:pPr>
        <w:spacing w:after="160"/>
        <w:jc w:val="both"/>
      </w:pPr>
      <w:r>
        <w:t>La prise en charge des CNEP reste en grande partie à définir. Une revue Cochrane de 2014 conclut à l'insuffisance des données probantes permettant de recommander un traitement spécifique. La prise en charge doit s'articuler en trois étapes.</w:t>
      </w:r>
    </w:p>
    <w:p w14:paraId="20A20558" w14:textId="77777777" w:rsidR="007E7F73" w:rsidRDefault="00000000">
      <w:pPr>
        <w:spacing w:after="160"/>
        <w:jc w:val="both"/>
      </w:pPr>
      <w:r>
        <w:t xml:space="preserve">La première étape est la communication du diagnostic, qui constitue une intervention thérapeutique à part entière. Elle doit être réalisée de manière empathique, </w:t>
      </w:r>
      <w:proofErr w:type="spellStart"/>
      <w:r>
        <w:t>tactful</w:t>
      </w:r>
      <w:proofErr w:type="spellEnd"/>
      <w:r>
        <w:t xml:space="preserve"> et positive, en présence de l'entourage, en évitant les termes stigmatisants (« crise hystérique », « </w:t>
      </w:r>
      <w:proofErr w:type="spellStart"/>
      <w:r>
        <w:t>pseudocrise</w:t>
      </w:r>
      <w:proofErr w:type="spellEnd"/>
      <w:r>
        <w:t xml:space="preserve"> »). Des études récentes montrent que certains patients deviennent libres de CNEP après réception d'un diagnostic clair et définitif.</w:t>
      </w:r>
    </w:p>
    <w:p w14:paraId="02B3B546" w14:textId="77777777" w:rsidR="007E7F73" w:rsidRDefault="00000000">
      <w:pPr>
        <w:spacing w:after="160"/>
        <w:jc w:val="both"/>
      </w:pPr>
      <w:r>
        <w:t xml:space="preserve">La deuxième étape consiste en l'intervention thérapeutique aiguë. Une évaluation psychiatrique approfondie est indispensable, les comorbidités psychiatriques étant la règle (seuls 5 % des patients n'en présentent aucune). Les MAC doivent être progressivement réduits sous la supervision de l'épileptologue, sauf si certains exercent un bénéfice psychotrope spécifique (effet antidépresseur de la </w:t>
      </w:r>
      <w:proofErr w:type="spellStart"/>
      <w:r>
        <w:t>lamotrigine</w:t>
      </w:r>
      <w:proofErr w:type="spellEnd"/>
      <w:r>
        <w:t xml:space="preserve">, effet stabilisateur de l'humeur du valproate). La </w:t>
      </w:r>
      <w:proofErr w:type="spellStart"/>
      <w:r>
        <w:t>sertraline</w:t>
      </w:r>
      <w:proofErr w:type="spellEnd"/>
      <w:r>
        <w:t xml:space="preserve"> ou la venlafaxine peuvent être utilisées pour traiter les troubles anxiodépressifs associés.</w:t>
      </w:r>
    </w:p>
    <w:p w14:paraId="433DE9AA" w14:textId="77777777" w:rsidR="007E7F73" w:rsidRDefault="00000000">
      <w:pPr>
        <w:spacing w:after="160"/>
        <w:jc w:val="both"/>
      </w:pPr>
      <w:r>
        <w:lastRenderedPageBreak/>
        <w:t xml:space="preserve">La troisième étape concerne les interventions à long terme. La psychothérapie est le traitement de référence, la thérapie </w:t>
      </w:r>
      <w:proofErr w:type="spellStart"/>
      <w:r>
        <w:t>cognitivo</w:t>
      </w:r>
      <w:proofErr w:type="spellEnd"/>
      <w:r>
        <w:t>-comportementale (TCC) disposant des preuves d'efficacité les plus solides. Les thérapies psychodynamiques individuelles ou de groupe constituent des alternatives. Les approches psychoéducatives présentent également un intérêt. L'adhésion à la psychothérapie reste cependant médiocre dans cette population, en raison notamment de la rareté des ressources en santé mentale et de la faible confiance des patients envers cette approche.</w:t>
      </w:r>
    </w:p>
    <w:p w14:paraId="3939F12F" w14:textId="77777777" w:rsidR="007E7F73" w:rsidRDefault="00000000">
      <w:pPr>
        <w:pStyle w:val="Titre1"/>
      </w:pPr>
      <w:r>
        <w:t>IX. Conclusions</w:t>
      </w:r>
    </w:p>
    <w:p w14:paraId="488F9706" w14:textId="0FC8E57F" w:rsidR="007E7F73" w:rsidRDefault="00000000" w:rsidP="00001789">
      <w:pPr>
        <w:spacing w:after="160"/>
        <w:jc w:val="both"/>
      </w:pPr>
      <w:r>
        <w:t>Une meilleure compréhension de la complexité des CNEP nécessite des efforts concertés et coordonnés de la part des neuroscientifiques, neurologues, psychiatres etpsychologues. Les auteurs préconisent la création d'un groupe de travail multidisciplinaire et multiculturel/international, doté d'un agenda de recherche cohérent et favorisant de larges projets collaboratifs. Les avancées en neuroimagerie et en connectivité fonctionnelle ont permis de progresser dans la compréhension des mécanismes neurobiologiques sous-jacents aux CNEP, jusqu'alors considérées comme des troubles sans substrat organique. Néanmoins, le diagnostic différentiel entre CNEP, épilepsie vraie et double diagnostic demeure un défi clinique quotidien, dont la résolution conditionne la qualité de vie des patients et l'adéquation de leur prise en charge.</w:t>
      </w:r>
    </w:p>
    <w:p w14:paraId="52080634" w14:textId="77777777" w:rsidR="00164B51" w:rsidRDefault="00164B51" w:rsidP="00164B51">
      <w:pPr>
        <w:spacing w:after="160"/>
      </w:pPr>
    </w:p>
    <w:p w14:paraId="1C205324" w14:textId="2B9E8CA3" w:rsidR="00164B51" w:rsidRPr="00164B51" w:rsidRDefault="00164B51" w:rsidP="00164B51">
      <w:pPr>
        <w:spacing w:after="160"/>
        <w:jc w:val="center"/>
        <w:rPr>
          <w:b/>
          <w:bCs/>
        </w:rPr>
      </w:pPr>
      <w:r w:rsidRPr="00164B51">
        <w:rPr>
          <w:b/>
          <w:bCs/>
        </w:rPr>
        <w:t xml:space="preserve">Dr </w:t>
      </w:r>
      <w:r w:rsidRPr="00164B51">
        <w:rPr>
          <w:b/>
          <w:bCs/>
        </w:rPr>
        <w:t>Yassine Nassiri</w:t>
      </w:r>
    </w:p>
    <w:p w14:paraId="07F5F79B" w14:textId="7C8610B1" w:rsidR="00164B51" w:rsidRPr="00164B51" w:rsidRDefault="00164B51" w:rsidP="00164B51">
      <w:pPr>
        <w:spacing w:after="160"/>
        <w:jc w:val="center"/>
        <w:rPr>
          <w:b/>
          <w:bCs/>
        </w:rPr>
      </w:pPr>
      <w:r w:rsidRPr="00164B51">
        <w:rPr>
          <w:b/>
          <w:bCs/>
        </w:rPr>
        <w:t>Centre psychiatrique universitaire d’agadir</w:t>
      </w:r>
    </w:p>
    <w:p w14:paraId="165E22D1" w14:textId="3E3B6171" w:rsidR="00164B51" w:rsidRPr="00164B51" w:rsidRDefault="00164B51" w:rsidP="00164B51">
      <w:pPr>
        <w:spacing w:after="160"/>
        <w:jc w:val="center"/>
        <w:rPr>
          <w:b/>
          <w:bCs/>
        </w:rPr>
      </w:pPr>
      <w:r w:rsidRPr="00164B51">
        <w:rPr>
          <w:b/>
          <w:bCs/>
        </w:rPr>
        <w:t>Juillet 2026</w:t>
      </w:r>
    </w:p>
    <w:sectPr w:rsidR="00164B51" w:rsidRPr="00164B5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31837"/>
    <w:multiLevelType w:val="hybridMultilevel"/>
    <w:tmpl w:val="22100C14"/>
    <w:lvl w:ilvl="0" w:tplc="A77240BC">
      <w:start w:val="1"/>
      <w:numFmt w:val="bullet"/>
      <w:lvlText w:val="●"/>
      <w:lvlJc w:val="left"/>
      <w:pPr>
        <w:ind w:left="720" w:hanging="360"/>
      </w:pPr>
    </w:lvl>
    <w:lvl w:ilvl="1" w:tplc="C180DE3E">
      <w:start w:val="1"/>
      <w:numFmt w:val="bullet"/>
      <w:lvlText w:val="○"/>
      <w:lvlJc w:val="left"/>
      <w:pPr>
        <w:ind w:left="1440" w:hanging="360"/>
      </w:pPr>
    </w:lvl>
    <w:lvl w:ilvl="2" w:tplc="83F243BA">
      <w:start w:val="1"/>
      <w:numFmt w:val="bullet"/>
      <w:lvlText w:val="■"/>
      <w:lvlJc w:val="left"/>
      <w:pPr>
        <w:ind w:left="2160" w:hanging="360"/>
      </w:pPr>
    </w:lvl>
    <w:lvl w:ilvl="3" w:tplc="BFCC6924">
      <w:start w:val="1"/>
      <w:numFmt w:val="bullet"/>
      <w:lvlText w:val="●"/>
      <w:lvlJc w:val="left"/>
      <w:pPr>
        <w:ind w:left="2880" w:hanging="360"/>
      </w:pPr>
    </w:lvl>
    <w:lvl w:ilvl="4" w:tplc="FA0E9B9E">
      <w:start w:val="1"/>
      <w:numFmt w:val="bullet"/>
      <w:lvlText w:val="○"/>
      <w:lvlJc w:val="left"/>
      <w:pPr>
        <w:ind w:left="3600" w:hanging="360"/>
      </w:pPr>
    </w:lvl>
    <w:lvl w:ilvl="5" w:tplc="AA340406">
      <w:start w:val="1"/>
      <w:numFmt w:val="bullet"/>
      <w:lvlText w:val="■"/>
      <w:lvlJc w:val="left"/>
      <w:pPr>
        <w:ind w:left="4320" w:hanging="360"/>
      </w:pPr>
    </w:lvl>
    <w:lvl w:ilvl="6" w:tplc="D9226990">
      <w:start w:val="1"/>
      <w:numFmt w:val="bullet"/>
      <w:lvlText w:val="●"/>
      <w:lvlJc w:val="left"/>
      <w:pPr>
        <w:ind w:left="5040" w:hanging="360"/>
      </w:pPr>
    </w:lvl>
    <w:lvl w:ilvl="7" w:tplc="593A91C2">
      <w:start w:val="1"/>
      <w:numFmt w:val="bullet"/>
      <w:lvlText w:val="●"/>
      <w:lvlJc w:val="left"/>
      <w:pPr>
        <w:ind w:left="5760" w:hanging="360"/>
      </w:pPr>
    </w:lvl>
    <w:lvl w:ilvl="8" w:tplc="59D6F930">
      <w:start w:val="1"/>
      <w:numFmt w:val="bullet"/>
      <w:lvlText w:val="●"/>
      <w:lvlJc w:val="left"/>
      <w:pPr>
        <w:ind w:left="6480" w:hanging="360"/>
      </w:pPr>
    </w:lvl>
  </w:abstractNum>
  <w:num w:numId="1" w16cid:durableId="2242264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73"/>
    <w:rsid w:val="00001789"/>
    <w:rsid w:val="00164B51"/>
    <w:rsid w:val="005E5C77"/>
    <w:rsid w:val="007E7F73"/>
    <w:rsid w:val="00AA014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305B"/>
  <w15:docId w15:val="{FE2FC631-E31E-42E1-AD9F-A04886C0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00" w:after="120"/>
      <w:outlineLvl w:val="0"/>
    </w:pPr>
    <w:rPr>
      <w:b/>
      <w:bCs/>
      <w:color w:val="1F3864"/>
      <w:sz w:val="28"/>
      <w:szCs w:val="28"/>
    </w:rPr>
  </w:style>
  <w:style w:type="paragraph" w:styleId="Titre2">
    <w:name w:val="heading 2"/>
    <w:uiPriority w:val="9"/>
    <w:unhideWhenUsed/>
    <w:qFormat/>
    <w:pPr>
      <w:spacing w:before="240" w:after="100"/>
      <w:outlineLvl w:val="1"/>
    </w:pPr>
    <w:rPr>
      <w:b/>
      <w:bCs/>
      <w:color w:val="2E5496"/>
      <w:sz w:val="26"/>
      <w:szCs w:val="26"/>
    </w:rPr>
  </w:style>
  <w:style w:type="paragraph" w:styleId="Titre3">
    <w:name w:val="heading 3"/>
    <w:uiPriority w:val="9"/>
    <w:unhideWhenUsed/>
    <w:qFormat/>
    <w:pPr>
      <w:spacing w:before="180" w:after="80"/>
      <w:outlineLvl w:val="2"/>
    </w:pPr>
    <w:rPr>
      <w:b/>
      <w:bCs/>
      <w:i/>
      <w:iCs/>
      <w:color w:val="2E5496"/>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2573</Words>
  <Characters>14154</Characters>
  <Application>Microsoft Office Word</Application>
  <DocSecurity>0</DocSecurity>
  <Lines>117</Lines>
  <Paragraphs>33</Paragraphs>
  <ScaleCrop>false</ScaleCrop>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khadija Akebour</cp:lastModifiedBy>
  <cp:revision>4</cp:revision>
  <dcterms:created xsi:type="dcterms:W3CDTF">2026-07-25T17:36:00Z</dcterms:created>
  <dcterms:modified xsi:type="dcterms:W3CDTF">2026-07-26T21:10:00Z</dcterms:modified>
</cp:coreProperties>
</file>