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0C45" w14:textId="2BDAC987" w:rsidR="00EA5C25" w:rsidRPr="004878D7" w:rsidRDefault="00000000" w:rsidP="004878D7">
      <w:pPr>
        <w:pStyle w:val="Titre"/>
        <w:spacing w:after="100"/>
        <w:rPr>
          <w:rFonts w:ascii="Segoe UI Semilight" w:hAnsi="Segoe UI Semilight" w:cs="Segoe UI Semilight"/>
          <w:sz w:val="32"/>
          <w:szCs w:val="32"/>
        </w:rPr>
      </w:pPr>
      <w:r w:rsidRPr="004878D7">
        <w:rPr>
          <w:rFonts w:ascii="Segoe UI Semilight" w:hAnsi="Segoe UI Semilight" w:cs="Segoe UI Semilight"/>
          <w:b/>
          <w:bCs/>
          <w:sz w:val="32"/>
          <w:szCs w:val="32"/>
        </w:rPr>
        <w:t xml:space="preserve">Transe </w:t>
      </w:r>
      <w:r w:rsidR="004878D7" w:rsidRPr="004878D7">
        <w:rPr>
          <w:rFonts w:ascii="Segoe UI Semilight" w:hAnsi="Segoe UI Semilight" w:cs="Segoe UI Semilight"/>
          <w:b/>
          <w:bCs/>
          <w:sz w:val="32"/>
          <w:szCs w:val="32"/>
        </w:rPr>
        <w:t>Dissociative Et Possession Spirituelle : Défis Pour Les Cultures En Transition</w:t>
      </w:r>
    </w:p>
    <w:p w14:paraId="40666797" w14:textId="77777777" w:rsidR="00EA5C25" w:rsidRDefault="00000000" w:rsidP="004878D7">
      <w:pPr>
        <w:spacing w:after="120"/>
        <w:rPr>
          <w:rFonts w:ascii="Segoe UI Semilight" w:hAnsi="Segoe UI Semilight" w:cs="Segoe UI Semilight"/>
          <w:i/>
          <w:iCs/>
          <w:sz w:val="18"/>
          <w:szCs w:val="18"/>
        </w:rPr>
      </w:pPr>
      <w:r w:rsidRPr="004878D7">
        <w:rPr>
          <w:rFonts w:ascii="Segoe UI Semilight" w:hAnsi="Segoe UI Semilight" w:cs="Segoe UI Semilight"/>
          <w:i/>
          <w:iCs/>
          <w:sz w:val="18"/>
          <w:szCs w:val="18"/>
        </w:rPr>
        <w:t xml:space="preserve">Bhavsar V, </w:t>
      </w:r>
      <w:proofErr w:type="spellStart"/>
      <w:r w:rsidRPr="004878D7">
        <w:rPr>
          <w:rFonts w:ascii="Segoe UI Semilight" w:hAnsi="Segoe UI Semilight" w:cs="Segoe UI Semilight"/>
          <w:i/>
          <w:iCs/>
          <w:sz w:val="18"/>
          <w:szCs w:val="18"/>
        </w:rPr>
        <w:t>Ventriglio</w:t>
      </w:r>
      <w:proofErr w:type="spellEnd"/>
      <w:r w:rsidRPr="004878D7">
        <w:rPr>
          <w:rFonts w:ascii="Segoe UI Semilight" w:hAnsi="Segoe UI Semilight" w:cs="Segoe UI Semilight"/>
          <w:i/>
          <w:iCs/>
          <w:sz w:val="18"/>
          <w:szCs w:val="18"/>
        </w:rPr>
        <w:t xml:space="preserve"> A, Bhugra D. </w:t>
      </w:r>
      <w:proofErr w:type="spellStart"/>
      <w:r w:rsidRPr="004878D7">
        <w:rPr>
          <w:rFonts w:ascii="Segoe UI Semilight" w:hAnsi="Segoe UI Semilight" w:cs="Segoe UI Semilight"/>
          <w:i/>
          <w:iCs/>
          <w:sz w:val="18"/>
          <w:szCs w:val="18"/>
        </w:rPr>
        <w:t>Psychiatry</w:t>
      </w:r>
      <w:proofErr w:type="spellEnd"/>
      <w:r w:rsidRPr="004878D7">
        <w:rPr>
          <w:rFonts w:ascii="Segoe UI Semilight" w:hAnsi="Segoe UI Semilight" w:cs="Segoe UI Semilight"/>
          <w:i/>
          <w:iCs/>
          <w:sz w:val="18"/>
          <w:szCs w:val="18"/>
        </w:rPr>
        <w:t xml:space="preserve"> and </w:t>
      </w:r>
      <w:proofErr w:type="spellStart"/>
      <w:r w:rsidRPr="004878D7">
        <w:rPr>
          <w:rFonts w:ascii="Segoe UI Semilight" w:hAnsi="Segoe UI Semilight" w:cs="Segoe UI Semilight"/>
          <w:i/>
          <w:iCs/>
          <w:sz w:val="18"/>
          <w:szCs w:val="18"/>
        </w:rPr>
        <w:t>Clinical</w:t>
      </w:r>
      <w:proofErr w:type="spellEnd"/>
      <w:r w:rsidRPr="004878D7">
        <w:rPr>
          <w:rFonts w:ascii="Segoe UI Semilight" w:hAnsi="Segoe UI Semilight" w:cs="Segoe UI Semilight"/>
          <w:i/>
          <w:iCs/>
          <w:sz w:val="18"/>
          <w:szCs w:val="18"/>
        </w:rPr>
        <w:t xml:space="preserve"> Neurosciences </w:t>
      </w:r>
      <w:proofErr w:type="gramStart"/>
      <w:r w:rsidRPr="004878D7">
        <w:rPr>
          <w:rFonts w:ascii="Segoe UI Semilight" w:hAnsi="Segoe UI Semilight" w:cs="Segoe UI Semilight"/>
          <w:i/>
          <w:iCs/>
          <w:sz w:val="18"/>
          <w:szCs w:val="18"/>
        </w:rPr>
        <w:t>2016;</w:t>
      </w:r>
      <w:proofErr w:type="gramEnd"/>
      <w:r w:rsidRPr="004878D7">
        <w:rPr>
          <w:rFonts w:ascii="Segoe UI Semilight" w:hAnsi="Segoe UI Semilight" w:cs="Segoe UI Semilight"/>
          <w:i/>
          <w:iCs/>
          <w:sz w:val="18"/>
          <w:szCs w:val="18"/>
        </w:rPr>
        <w:t xml:space="preserve"> </w:t>
      </w:r>
      <w:proofErr w:type="gramStart"/>
      <w:r w:rsidRPr="004878D7">
        <w:rPr>
          <w:rFonts w:ascii="Segoe UI Semilight" w:hAnsi="Segoe UI Semilight" w:cs="Segoe UI Semilight"/>
          <w:i/>
          <w:iCs/>
          <w:sz w:val="18"/>
          <w:szCs w:val="18"/>
        </w:rPr>
        <w:t>70:</w:t>
      </w:r>
      <w:proofErr w:type="gramEnd"/>
      <w:r w:rsidRPr="004878D7">
        <w:rPr>
          <w:rFonts w:ascii="Segoe UI Semilight" w:hAnsi="Segoe UI Semilight" w:cs="Segoe UI Semilight"/>
          <w:i/>
          <w:iCs/>
          <w:sz w:val="18"/>
          <w:szCs w:val="18"/>
        </w:rPr>
        <w:t xml:space="preserve"> 551–559.</w:t>
      </w:r>
    </w:p>
    <w:p w14:paraId="33A0F25C" w14:textId="77777777" w:rsidR="00EA5C25" w:rsidRPr="004878D7" w:rsidRDefault="00000000" w:rsidP="004878D7">
      <w:pPr>
        <w:pStyle w:val="1"/>
        <w:spacing w:after="120"/>
        <w:rPr>
          <w:rFonts w:ascii="Segoe UI Semilight" w:hAnsi="Segoe UI Semilight" w:cs="Segoe UI Semilight"/>
          <w:sz w:val="28"/>
          <w:szCs w:val="28"/>
        </w:rPr>
      </w:pPr>
      <w:r w:rsidRPr="004878D7">
        <w:rPr>
          <w:rFonts w:ascii="Segoe UI Semilight" w:hAnsi="Segoe UI Semilight" w:cs="Segoe UI Semilight"/>
          <w:sz w:val="28"/>
          <w:szCs w:val="28"/>
        </w:rPr>
        <w:t>Introduction</w:t>
      </w:r>
    </w:p>
    <w:p w14:paraId="407E797B"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La validité transculturelle des catégories de transe dissociative et de possession fait l'objet d'un débat, limitant la recherche et l'interprétation des données de prévalence. Le vocabulaire de la psychiatrie résulte de courants intellectuels distincts, abordant des phénomènes expérientiels et subjectifs selon des approches différentes. La pratique clinique implique un intérêt pour l'expérience singulière du patient, mais également l'application de constructions nosographiques à visée générale. Se pose alors la question de savoir comment un ensemble unique de définitions diagnostiques peut rendre compte des expériences observées à travers le monde, en particulier dans des cultures « en transition », passant de modèles traditionnels et </w:t>
      </w:r>
      <w:proofErr w:type="spellStart"/>
      <w:r w:rsidRPr="004878D7">
        <w:rPr>
          <w:rFonts w:ascii="Segoe UI Semilight" w:hAnsi="Segoe UI Semilight" w:cs="Segoe UI Semilight"/>
          <w:sz w:val="18"/>
          <w:szCs w:val="18"/>
        </w:rPr>
        <w:t>sociocentriques</w:t>
      </w:r>
      <w:proofErr w:type="spellEnd"/>
      <w:r w:rsidRPr="004878D7">
        <w:rPr>
          <w:rFonts w:ascii="Segoe UI Semilight" w:hAnsi="Segoe UI Semilight" w:cs="Segoe UI Semilight"/>
          <w:sz w:val="18"/>
          <w:szCs w:val="18"/>
        </w:rPr>
        <w:t xml:space="preserve"> à des modèles égocentriques et individualistes. Dans les cultures traditionnelles, la possession spirituelle et les troubles dissociatifs jouent un rôle de communication de la détresse au sein du réseau familial et social élargi ; ce rôle tendrait à s'atténuer avec la transition culturelle.</w:t>
      </w:r>
    </w:p>
    <w:p w14:paraId="4F073727" w14:textId="77777777" w:rsidR="00EA5C25" w:rsidRPr="004878D7" w:rsidRDefault="00000000" w:rsidP="004878D7">
      <w:pPr>
        <w:pStyle w:val="1"/>
        <w:spacing w:after="120"/>
        <w:rPr>
          <w:rFonts w:ascii="Segoe UI Semilight" w:hAnsi="Segoe UI Semilight" w:cs="Segoe UI Semilight"/>
          <w:sz w:val="28"/>
          <w:szCs w:val="28"/>
        </w:rPr>
      </w:pPr>
      <w:r w:rsidRPr="004878D7">
        <w:rPr>
          <w:rFonts w:ascii="Segoe UI Semilight" w:hAnsi="Segoe UI Semilight" w:cs="Segoe UI Semilight"/>
          <w:sz w:val="28"/>
          <w:szCs w:val="28"/>
        </w:rPr>
        <w:t>Le statut particulier des troubles dissociatifs et leurs origines</w:t>
      </w:r>
    </w:p>
    <w:p w14:paraId="62DBBA58"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Les troubles impliquant une dissociation posent d'importants défis nosographiques et ont résisté à une catégorisation claire au sein du paradigme opérationnel de la psychiatrie. Certains auteurs contestent même toute utilité au concept de dissociation comme entité pathologique. L'incertitude terminologique proviendrait de descriptions diagnostiques imprécises évoquant une « origine psychogène » et une « perte d'intégration psychique ». La transe dissociative demeure classée comme trouble dissociatif « non spécifié ailleurs » dans le DSM-IV-TR (Manuel diagnostique et statistique des troubles mentaux, 4e édition, texte révisé) et cette ambiguïté persiste dans le DSM-5.</w:t>
      </w:r>
    </w:p>
    <w:p w14:paraId="2288A061"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Dans la Classification internationale des maladies, 10e révision (CIM-10), les troubles de transe et de possession sont définis comme des états impliquant une « perte temporaire du sentiment d'identité personnelle et de pleine conscience de l'environnement » (code F44.3), classés parmi les troubles dissociatifs. La dissociation renvoie à la perte des fonctions intégratives normales du psychisme, affectant mémoire, conscience et identité, avec des manifestations variées : amnésie, transe et trouble de personnalité multiple (TPM). Dans les états de possession et de transe, le comportement est souvent compris comme un remplacement de l'identité du sujet par une autre, se manifestant par un changement de dialecte, de tonalité vocale, ou par des éléments autobiographiques fictifs.</w:t>
      </w:r>
    </w:p>
    <w:p w14:paraId="0314A04C" w14:textId="77777777" w:rsidR="00776818" w:rsidRPr="004878D7" w:rsidRDefault="00776818" w:rsidP="00776818">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Cette conceptualisation présente néanmoins plusieurs limites. Premièrement, les états de transe dissociative et de possession se caractérisent par une importante variabilité transculturelle, tant en termes de fréquence que d'attribution. Selon les contextes culturels, ils peuvent être interprétés comme des comportements simulés, considérés comme pathologiques ou, au contraire, être socialement et religieusement acceptés. Bourguignon a ainsi recensé des croyances relatives à la possession spirituelle dans près des trois quarts des sociétés répertoriées dans l'Atlas ethnographique, avec une prévalence particulièrement élevée dans les îles du Pacifique et faible chez les populations amérindiennes d'Amérique du Nord. Deuxièmement, la comparaison transculturelle de ces fréquences repose sur l'hypothèse de la validité transculturelle du diagnostic, un postulat qui a été remis en question, notamment par Jureidini, Alexander et leurs collaborateurs. Par ailleurs, certaines études (During et al.) suggèrent que la transe dissociative est sous-diagnostiquée dans les pays occidentaux, probablement en raison de biais diagnostiques influencés par le contexte culturel. À l'inverse, d'autres travaux (Wijesinghe, Kua, </w:t>
      </w:r>
      <w:proofErr w:type="spellStart"/>
      <w:r w:rsidRPr="004878D7">
        <w:rPr>
          <w:rFonts w:ascii="Segoe UI Semilight" w:hAnsi="Segoe UI Semilight" w:cs="Segoe UI Semilight"/>
          <w:sz w:val="18"/>
          <w:szCs w:val="18"/>
        </w:rPr>
        <w:t>Trangkasombat</w:t>
      </w:r>
      <w:proofErr w:type="spellEnd"/>
      <w:r w:rsidRPr="004878D7">
        <w:rPr>
          <w:rFonts w:ascii="Segoe UI Semilight" w:hAnsi="Segoe UI Semilight" w:cs="Segoe UI Semilight"/>
          <w:sz w:val="18"/>
          <w:szCs w:val="18"/>
        </w:rPr>
        <w:t>) rapportent que cette catégorie diagnostique est plus fréquemment étudiée dans les pays asiatiques, tandis que Das et Saxena soulignent qu'elle est rarement retenue en pratique clinique en Inde.</w:t>
      </w:r>
    </w:p>
    <w:p w14:paraId="5F56F0BB" w14:textId="3F859792" w:rsidR="00EA5C25" w:rsidRPr="004878D7" w:rsidRDefault="00000000" w:rsidP="00776818">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Un désaccord persiste également quant à l'étiologie et aux relations avec le TPM, ces difficultés nosographiques tenant à l'absence de prise en compte socioculturelle dans les définitions et à l'exclusion des états phénoménologiquement proches mais non psychiatriques de la réflexion sur la transe dissociative. Enfin, se pose la question de la </w:t>
      </w:r>
      <w:proofErr w:type="gramStart"/>
      <w:r w:rsidRPr="004878D7">
        <w:rPr>
          <w:rFonts w:ascii="Segoe UI Semilight" w:hAnsi="Segoe UI Semilight" w:cs="Segoe UI Semilight"/>
          <w:sz w:val="18"/>
          <w:szCs w:val="18"/>
        </w:rPr>
        <w:t>pathologisation</w:t>
      </w:r>
      <w:proofErr w:type="gramEnd"/>
      <w:r w:rsidRPr="004878D7">
        <w:rPr>
          <w:rFonts w:ascii="Segoe UI Semilight" w:hAnsi="Segoe UI Semilight" w:cs="Segoe UI Semilight"/>
          <w:sz w:val="18"/>
          <w:szCs w:val="18"/>
        </w:rPr>
        <w:t xml:space="preserve"> excessive d'expériences normatives, la frontière entre transe/possession diagnostiquée en psychiatrie et « possession spirituelle » étudiée en anthropologie restant floue.</w:t>
      </w:r>
    </w:p>
    <w:p w14:paraId="255E1B2A" w14:textId="77777777" w:rsidR="00EA5C25" w:rsidRPr="004878D7" w:rsidRDefault="00000000" w:rsidP="004878D7">
      <w:pPr>
        <w:pStyle w:val="1"/>
        <w:spacing w:after="120"/>
        <w:rPr>
          <w:rFonts w:ascii="Segoe UI Semilight" w:hAnsi="Segoe UI Semilight" w:cs="Segoe UI Semilight"/>
          <w:sz w:val="28"/>
          <w:szCs w:val="28"/>
        </w:rPr>
      </w:pPr>
      <w:r w:rsidRPr="004878D7">
        <w:rPr>
          <w:rFonts w:ascii="Segoe UI Semilight" w:hAnsi="Segoe UI Semilight" w:cs="Segoe UI Semilight"/>
          <w:sz w:val="28"/>
          <w:szCs w:val="28"/>
        </w:rPr>
        <w:lastRenderedPageBreak/>
        <w:t>Validité culturelle</w:t>
      </w:r>
    </w:p>
    <w:p w14:paraId="2644DCF2" w14:textId="13A38B54"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Il existe un relatif consensus sur le caractère problématique de la catégorie diagnostique « transe dissociative et trouble de possession » pour la nosographie psychiatrique. Les facteurs culturels influencent ces états via la construction culturelle de la croyance en un « soi » circonscrit. Castillo souligne par exemple que la normalité des comportements méditatifs en Inde y explique une moindre prévalence des expériences dissociatives pathologiques. Il a été avancé que la psychiatrie occidentale est de nature individualisée, biologisée et réductrice sur le plan théorique et méthodologique, ce qui conduit à des catégories diagnostiques sous-estimant le rôle du contexte social</w:t>
      </w:r>
      <w:r w:rsidR="009162CB" w:rsidRPr="004878D7">
        <w:rPr>
          <w:rFonts w:ascii="Segoe UI Semilight" w:hAnsi="Segoe UI Semilight" w:cs="Segoe UI Semilight"/>
          <w:sz w:val="18"/>
          <w:szCs w:val="18"/>
        </w:rPr>
        <w:t xml:space="preserve"> ; </w:t>
      </w:r>
      <w:r w:rsidRPr="004878D7">
        <w:rPr>
          <w:rFonts w:ascii="Segoe UI Semilight" w:hAnsi="Segoe UI Semilight" w:cs="Segoe UI Semilight"/>
          <w:sz w:val="18"/>
          <w:szCs w:val="18"/>
        </w:rPr>
        <w:t>difficulté accentuée par le constat que les professionnels de santé mentale hors des pays occidentaux rapportent fréquemment des attributions spirituelles aux maladies mentales en général.</w:t>
      </w:r>
    </w:p>
    <w:p w14:paraId="3ADCFCB7" w14:textId="77777777" w:rsidR="00EA5C25" w:rsidRPr="004878D7" w:rsidRDefault="00000000" w:rsidP="004878D7">
      <w:pPr>
        <w:pStyle w:val="1"/>
        <w:spacing w:after="120"/>
        <w:rPr>
          <w:rFonts w:ascii="Segoe UI Semilight" w:hAnsi="Segoe UI Semilight" w:cs="Segoe UI Semilight"/>
          <w:i/>
          <w:iCs/>
          <w:color w:val="4EA72E" w:themeColor="accent6"/>
          <w:sz w:val="24"/>
          <w:szCs w:val="24"/>
        </w:rPr>
      </w:pPr>
      <w:r w:rsidRPr="004878D7">
        <w:rPr>
          <w:rFonts w:ascii="Segoe UI Semilight" w:hAnsi="Segoe UI Semilight" w:cs="Segoe UI Semilight"/>
          <w:i/>
          <w:iCs/>
          <w:color w:val="4EA72E" w:themeColor="accent6"/>
          <w:sz w:val="24"/>
          <w:szCs w:val="24"/>
        </w:rPr>
        <w:t>La possession dans les sciences sociales</w:t>
      </w:r>
    </w:p>
    <w:p w14:paraId="4AD7D94A"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Une définition large et communément admise décrit l'état de possession comme celui où un individu se perçoit envahi ou habité par une force externe, laquelle contrôle ou modifie ses actions et son identité. Dans la littérature anthropologique, la possession spirituelle constitue une catégorie large désignant un mode d'être culturellement </w:t>
      </w:r>
      <w:proofErr w:type="spellStart"/>
      <w:r w:rsidRPr="004878D7">
        <w:rPr>
          <w:rFonts w:ascii="Segoe UI Semilight" w:hAnsi="Segoe UI Semilight" w:cs="Segoe UI Semilight"/>
          <w:sz w:val="18"/>
          <w:szCs w:val="18"/>
        </w:rPr>
        <w:t>patterné</w:t>
      </w:r>
      <w:proofErr w:type="spellEnd"/>
      <w:r w:rsidRPr="004878D7">
        <w:rPr>
          <w:rFonts w:ascii="Segoe UI Semilight" w:hAnsi="Segoe UI Semilight" w:cs="Segoe UI Semilight"/>
          <w:sz w:val="18"/>
          <w:szCs w:val="18"/>
        </w:rPr>
        <w:t xml:space="preserve"> et accepté, généralement inscrit dans des contextes socioculturels spécifiques. Les travaux de Lewis abordent la volonté individuelle comme fondamentalement dyadique dans son rapport à la structure sociétale : le comportement de l'individu possédé ne peut être compris indépendamment de son contexte social. Possession spirituelle et transe/possession dissociative partagent des caractéristiques phénoménologiques et comportementales communes, distinguables selon : caractère délibéré, détresse, altération du fonctionnement, recours à l'aide et idiome culturel.</w:t>
      </w:r>
    </w:p>
    <w:p w14:paraId="55B7B96F"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La relation entre états de possession et transe dissociative demeure débattue. La position universaliste postule, en raison de leur homologie phénoménologique, que ces deux concepts sont équivalents. Les tenants du relativisme culturel estiment au contraire que possession et transe/possession dissociative doivent être appréhendées dans leur contexte socioculturel propre. </w:t>
      </w:r>
      <w:proofErr w:type="spellStart"/>
      <w:r w:rsidRPr="004878D7">
        <w:rPr>
          <w:rFonts w:ascii="Segoe UI Semilight" w:hAnsi="Segoe UI Semilight" w:cs="Segoe UI Semilight"/>
          <w:sz w:val="18"/>
          <w:szCs w:val="18"/>
        </w:rPr>
        <w:t>Kirmayer</w:t>
      </w:r>
      <w:proofErr w:type="spellEnd"/>
      <w:r w:rsidRPr="004878D7">
        <w:rPr>
          <w:rFonts w:ascii="Segoe UI Semilight" w:hAnsi="Segoe UI Semilight" w:cs="Segoe UI Semilight"/>
          <w:sz w:val="18"/>
          <w:szCs w:val="18"/>
        </w:rPr>
        <w:t xml:space="preserve"> relève que les définitions diagnostiques en psychiatrie tendent à refléter la situation politico-économique du contexte disciplinaire dont elles sont issues, et propose de les considérer comme des constructions destinées à orienter la recherche plutôt que comme des structures permanentes.</w:t>
      </w:r>
    </w:p>
    <w:p w14:paraId="0451B118" w14:textId="77777777" w:rsidR="00EA5C25" w:rsidRPr="004878D7" w:rsidRDefault="00000000" w:rsidP="004878D7">
      <w:pPr>
        <w:pStyle w:val="1"/>
        <w:spacing w:after="120"/>
        <w:rPr>
          <w:rFonts w:ascii="Segoe UI Semilight" w:hAnsi="Segoe UI Semilight" w:cs="Segoe UI Semilight"/>
          <w:sz w:val="28"/>
          <w:szCs w:val="28"/>
        </w:rPr>
      </w:pPr>
      <w:r w:rsidRPr="004878D7">
        <w:rPr>
          <w:rFonts w:ascii="Segoe UI Semilight" w:hAnsi="Segoe UI Semilight" w:cs="Segoe UI Semilight"/>
          <w:sz w:val="28"/>
          <w:szCs w:val="28"/>
        </w:rPr>
        <w:t>Le concept d'agentivité</w:t>
      </w:r>
    </w:p>
    <w:p w14:paraId="4D038A0F" w14:textId="6BFD6AAC"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Le trouble de transe/possession dissociative présente des difficultés majeures pour les cliniciens exerçant auprès de populations culturellement diverses. Les auteurs proposent d'appréhender ces difficultés à travers le concept d'agentivité (</w:t>
      </w:r>
      <w:proofErr w:type="spellStart"/>
      <w:r w:rsidRPr="004878D7">
        <w:rPr>
          <w:rFonts w:ascii="Segoe UI Semilight" w:hAnsi="Segoe UI Semilight" w:cs="Segoe UI Semilight"/>
          <w:sz w:val="18"/>
          <w:szCs w:val="18"/>
        </w:rPr>
        <w:t>agency</w:t>
      </w:r>
      <w:proofErr w:type="spellEnd"/>
      <w:r w:rsidRPr="004878D7">
        <w:rPr>
          <w:rFonts w:ascii="Segoe UI Semilight" w:hAnsi="Segoe UI Semilight" w:cs="Segoe UI Semilight"/>
          <w:sz w:val="18"/>
          <w:szCs w:val="18"/>
        </w:rPr>
        <w:t>), défini comme la « capacité d'un individu à agir »</w:t>
      </w:r>
      <w:r w:rsidR="009162CB" w:rsidRPr="004878D7">
        <w:rPr>
          <w:rFonts w:ascii="Segoe UI Semilight" w:hAnsi="Segoe UI Semilight" w:cs="Segoe UI Semilight"/>
          <w:sz w:val="18"/>
          <w:szCs w:val="18"/>
        </w:rPr>
        <w:t> </w:t>
      </w:r>
      <w:r w:rsidR="000B6BF2" w:rsidRPr="004878D7">
        <w:rPr>
          <w:rFonts w:ascii="Segoe UI Semilight" w:hAnsi="Segoe UI Semilight" w:cs="Segoe UI Semilight"/>
          <w:sz w:val="18"/>
          <w:szCs w:val="18"/>
        </w:rPr>
        <w:t>-</w:t>
      </w:r>
      <w:r w:rsidRPr="004878D7">
        <w:rPr>
          <w:rFonts w:ascii="Segoe UI Semilight" w:hAnsi="Segoe UI Semilight" w:cs="Segoe UI Semilight"/>
          <w:sz w:val="18"/>
          <w:szCs w:val="18"/>
        </w:rPr>
        <w:t xml:space="preserve"> le sentiment d'être en mesure d'accomplir quelque chose dans le monde qui vous appartienne en propre. L'agentivité peut être envisagée comme l'appropriation perçue de l'action (pensée, comportement, émotion, communication) par le sujet. Le terme « possession » peut alors désigner un processus par lequel un individu fait l'expérience d'un déplacement de sa propre agentivité par celle d'un autre </w:t>
      </w:r>
      <w:r w:rsidR="000B6BF2" w:rsidRPr="004878D7">
        <w:rPr>
          <w:rFonts w:ascii="Segoe UI Semilight" w:hAnsi="Segoe UI Semilight" w:cs="Segoe UI Semilight"/>
          <w:sz w:val="18"/>
          <w:szCs w:val="18"/>
        </w:rPr>
        <w:t>-</w:t>
      </w:r>
      <w:r w:rsidRPr="004878D7">
        <w:rPr>
          <w:rFonts w:ascii="Segoe UI Semilight" w:hAnsi="Segoe UI Semilight" w:cs="Segoe UI Semilight"/>
          <w:sz w:val="18"/>
          <w:szCs w:val="18"/>
        </w:rPr>
        <w:t xml:space="preserve"> phénomène habituellement vécu comme déplaisant ou non désiré, et se manifestant fréquemment par des modifications comportementales marquées, une altération du fonctionnement et une détresse.</w:t>
      </w:r>
    </w:p>
    <w:p w14:paraId="1BD43EF6" w14:textId="56458663" w:rsidR="00EA5C25" w:rsidRPr="004878D7" w:rsidRDefault="000B6BF2" w:rsidP="000B6BF2">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Un regain d'intérêt pour le concept d'agentivité s'observe dans plusieurs disciplines, allant des approches phénoménologiques et anthropologiques aux recherches portant sur ses fondements neurobiologiques et psychologiques. Murphy et Throop considèrent ainsi que l'agentivité repose sur trois composantes : l'orientation vers un but, l'effort intentionnel et l'appropriation de l'action par le sujet. Par ailleurs, la phénoménologie de l'agentivité en première personne présente des variations culturelles. À ce titre, Groark décrit, chez les Tzotzil Maya du Chiapas (Mexique), l'existence de multiples catégories de volition individuelle. Dans cette perspective, la transe dissociative, la possession dissociative et la possession spirituelle peuvent être envisagées comme des perturbations de l'agentivité façonnées par le contexte socioculturel.</w:t>
      </w:r>
    </w:p>
    <w:p w14:paraId="38803138" w14:textId="77777777" w:rsidR="00EA5C25" w:rsidRPr="004878D7" w:rsidRDefault="00000000" w:rsidP="004878D7">
      <w:pPr>
        <w:pStyle w:val="1"/>
        <w:spacing w:after="120"/>
        <w:rPr>
          <w:rFonts w:ascii="Segoe UI Semilight" w:hAnsi="Segoe UI Semilight" w:cs="Segoe UI Semilight"/>
          <w:sz w:val="28"/>
          <w:szCs w:val="28"/>
        </w:rPr>
      </w:pPr>
      <w:r w:rsidRPr="004878D7">
        <w:rPr>
          <w:rFonts w:ascii="Segoe UI Semilight" w:hAnsi="Segoe UI Semilight" w:cs="Segoe UI Semilight"/>
          <w:sz w:val="28"/>
          <w:szCs w:val="28"/>
        </w:rPr>
        <w:t>Élaboration d'un cadre culturellement sensible de l'agentivité</w:t>
      </w:r>
    </w:p>
    <w:p w14:paraId="28ED009F" w14:textId="77777777" w:rsidR="00EA5C25" w:rsidRPr="004878D7" w:rsidRDefault="00000000" w:rsidP="004878D7">
      <w:pPr>
        <w:pStyle w:val="2"/>
        <w:rPr>
          <w:rFonts w:ascii="Segoe UI Semilight" w:hAnsi="Segoe UI Semilight" w:cs="Segoe UI Semilight"/>
          <w:sz w:val="24"/>
          <w:szCs w:val="24"/>
        </w:rPr>
      </w:pPr>
      <w:r w:rsidRPr="004878D7">
        <w:rPr>
          <w:rFonts w:ascii="Segoe UI Semilight" w:hAnsi="Segoe UI Semilight" w:cs="Segoe UI Semilight"/>
          <w:sz w:val="24"/>
          <w:szCs w:val="24"/>
        </w:rPr>
        <w:t>Agentivité et monde social</w:t>
      </w:r>
    </w:p>
    <w:p w14:paraId="273D8DFC"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lastRenderedPageBreak/>
        <w:t xml:space="preserve">La tension entre agentivité individuelle et contexte social constitue un débat récurrent en sociologie. La thématisation de la possession spirituelle doit beaucoup à l'ouvrage </w:t>
      </w:r>
      <w:proofErr w:type="spellStart"/>
      <w:r w:rsidRPr="004878D7">
        <w:rPr>
          <w:rFonts w:ascii="Segoe UI Semilight" w:hAnsi="Segoe UI Semilight" w:cs="Segoe UI Semilight"/>
          <w:sz w:val="18"/>
          <w:szCs w:val="18"/>
        </w:rPr>
        <w:t>Ecstatic</w:t>
      </w:r>
      <w:proofErr w:type="spellEnd"/>
      <w:r w:rsidRPr="004878D7">
        <w:rPr>
          <w:rFonts w:ascii="Segoe UI Semilight" w:hAnsi="Segoe UI Semilight" w:cs="Segoe UI Semilight"/>
          <w:sz w:val="18"/>
          <w:szCs w:val="18"/>
        </w:rPr>
        <w:t xml:space="preserve"> Religion de Lewis, qui propose un modèle « socio-structurel » distinguant possession centrale et possession périphérique, s'inscrivant respectivement dans les systèmes moraux dominants ou dans des contextes marginaux ; ce modèle a ensuite été affiné pour intégrer des dimensions de pouvoir et d'identité. Bourguignon a mis en évidence une relation entre taux de transe et de possession spirituelle, suggérant que cette dernière puisse constituer une expression de la structure sociale elle-même ; Greenbaum relie le développement des états de possession au degré de rigidité sociétale, offrant un exutoire aux émotions et conflits que la structure sociale organisée ne permet pas autrement d'exprimer.</w:t>
      </w:r>
    </w:p>
    <w:p w14:paraId="7F7CB530" w14:textId="77777777" w:rsidR="00EA5C25" w:rsidRPr="004878D7" w:rsidRDefault="00000000" w:rsidP="004878D7">
      <w:pPr>
        <w:pStyle w:val="2"/>
        <w:rPr>
          <w:rFonts w:ascii="Segoe UI Semilight" w:hAnsi="Segoe UI Semilight" w:cs="Segoe UI Semilight"/>
          <w:sz w:val="24"/>
          <w:szCs w:val="24"/>
        </w:rPr>
      </w:pPr>
      <w:r w:rsidRPr="004878D7">
        <w:rPr>
          <w:rFonts w:ascii="Segoe UI Semilight" w:hAnsi="Segoe UI Semilight" w:cs="Segoe UI Semilight"/>
          <w:sz w:val="24"/>
          <w:szCs w:val="24"/>
        </w:rPr>
        <w:t>Modèles interprétatifs</w:t>
      </w:r>
    </w:p>
    <w:p w14:paraId="6E3FFEED" w14:textId="1BF41EE8" w:rsidR="00EA5C25" w:rsidRPr="004878D7" w:rsidRDefault="00CF764F" w:rsidP="00CF764F">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Certains auteurs, notamment Kapferer et </w:t>
      </w:r>
      <w:proofErr w:type="spellStart"/>
      <w:r w:rsidRPr="004878D7">
        <w:rPr>
          <w:rFonts w:ascii="Segoe UI Semilight" w:hAnsi="Segoe UI Semilight" w:cs="Segoe UI Semilight"/>
          <w:sz w:val="18"/>
          <w:szCs w:val="18"/>
        </w:rPr>
        <w:t>Obeyesekere</w:t>
      </w:r>
      <w:proofErr w:type="spellEnd"/>
      <w:r w:rsidRPr="004878D7">
        <w:rPr>
          <w:rFonts w:ascii="Segoe UI Semilight" w:hAnsi="Segoe UI Semilight" w:cs="Segoe UI Semilight"/>
          <w:sz w:val="18"/>
          <w:szCs w:val="18"/>
        </w:rPr>
        <w:t>, interprètent la possession démoniaque comme l'expression de conflits sociaux, en particulier de conflits de classe occultés, ou comme un phénomène opérant simultanément sur les plans religieux et psychodynamique. La notion d</w:t>
      </w:r>
      <w:proofErr w:type="gramStart"/>
      <w:r w:rsidRPr="004878D7">
        <w:rPr>
          <w:rFonts w:ascii="Segoe UI Semilight" w:hAnsi="Segoe UI Semilight" w:cs="Segoe UI Semilight"/>
          <w:sz w:val="18"/>
          <w:szCs w:val="18"/>
        </w:rPr>
        <w:t>'«</w:t>
      </w:r>
      <w:proofErr w:type="gramEnd"/>
      <w:r w:rsidRPr="004878D7">
        <w:rPr>
          <w:rFonts w:ascii="Segoe UI Semilight" w:hAnsi="Segoe UI Semilight" w:cs="Segoe UI Semilight"/>
          <w:sz w:val="18"/>
          <w:szCs w:val="18"/>
        </w:rPr>
        <w:t xml:space="preserve"> instrumentalité » occupe une place centrale dans ces modèles : les états de possession sont considérés comme ayant une fonction, en ce qu'ils « accomplissent quelque chose » et exercent une influence stratégique au sein du groupe social. Dans une étude épidémiologique menée dans le Karnataka occidental (Inde), </w:t>
      </w:r>
      <w:proofErr w:type="spellStart"/>
      <w:r w:rsidRPr="004878D7">
        <w:rPr>
          <w:rFonts w:ascii="Segoe UI Semilight" w:hAnsi="Segoe UI Semilight" w:cs="Segoe UI Semilight"/>
          <w:sz w:val="18"/>
          <w:szCs w:val="18"/>
        </w:rPr>
        <w:t>Venkataramaiah</w:t>
      </w:r>
      <w:proofErr w:type="spellEnd"/>
      <w:r w:rsidRPr="004878D7">
        <w:rPr>
          <w:rFonts w:ascii="Segoe UI Semilight" w:hAnsi="Segoe UI Semilight" w:cs="Segoe UI Semilight"/>
          <w:sz w:val="18"/>
          <w:szCs w:val="18"/>
        </w:rPr>
        <w:t xml:space="preserve"> rapporte que 91 % des sujets concernés percevaient les esprits comme une source de souffrance ou de difficultés, la possession étant décrite comme un phénomène « </w:t>
      </w:r>
      <w:proofErr w:type="spellStart"/>
      <w:r w:rsidRPr="004878D7">
        <w:rPr>
          <w:rFonts w:ascii="Segoe UI Semilight" w:hAnsi="Segoe UI Semilight" w:cs="Segoe UI Semilight"/>
          <w:sz w:val="18"/>
          <w:szCs w:val="18"/>
        </w:rPr>
        <w:t>socioculturellement</w:t>
      </w:r>
      <w:proofErr w:type="spellEnd"/>
      <w:r w:rsidRPr="004878D7">
        <w:rPr>
          <w:rFonts w:ascii="Segoe UI Semilight" w:hAnsi="Segoe UI Semilight" w:cs="Segoe UI Semilight"/>
          <w:sz w:val="18"/>
          <w:szCs w:val="18"/>
        </w:rPr>
        <w:t xml:space="preserve"> induit ». À Singapour, </w:t>
      </w:r>
      <w:proofErr w:type="spellStart"/>
      <w:r w:rsidRPr="004878D7">
        <w:rPr>
          <w:rFonts w:ascii="Segoe UI Semilight" w:hAnsi="Segoe UI Semilight" w:cs="Segoe UI Semilight"/>
          <w:sz w:val="18"/>
          <w:szCs w:val="18"/>
        </w:rPr>
        <w:t>Ng</w:t>
      </w:r>
      <w:proofErr w:type="spellEnd"/>
      <w:r w:rsidRPr="004878D7">
        <w:rPr>
          <w:rFonts w:ascii="Segoe UI Semilight" w:hAnsi="Segoe UI Semilight" w:cs="Segoe UI Semilight"/>
          <w:sz w:val="18"/>
          <w:szCs w:val="18"/>
        </w:rPr>
        <w:t xml:space="preserve"> et Chan ont observé, chez les patients présentant un trouble de transe dissociative, une fréquence élevée de </w:t>
      </w:r>
      <w:proofErr w:type="spellStart"/>
      <w:r w:rsidRPr="004878D7">
        <w:rPr>
          <w:rFonts w:ascii="Segoe UI Semilight" w:hAnsi="Segoe UI Semilight" w:cs="Segoe UI Semilight"/>
          <w:sz w:val="18"/>
          <w:szCs w:val="18"/>
        </w:rPr>
        <w:t>stresseurs</w:t>
      </w:r>
      <w:proofErr w:type="spellEnd"/>
      <w:r w:rsidRPr="004878D7">
        <w:rPr>
          <w:rFonts w:ascii="Segoe UI Semilight" w:hAnsi="Segoe UI Semilight" w:cs="Segoe UI Semilight"/>
          <w:sz w:val="18"/>
          <w:szCs w:val="18"/>
        </w:rPr>
        <w:t xml:space="preserve"> psychosociaux, avec une proportion significativement plus importante de conflits religieux et culturels que chez les patients souffrant de dépression (38 % contre 5 %). Ces résultats suggèrent un lien étroit entre la possession spirituelle et la transe dissociative dans ce contexte culturel. L'ensemble de ces données remet en question la pertinence d'une distinction absolue entre possession spirituelle et transe ou possession dissociative, ces deux catégories paraissant davantage relever d'un même cadre conceptuel.</w:t>
      </w:r>
    </w:p>
    <w:p w14:paraId="2823BA1E" w14:textId="77777777" w:rsidR="00EA5C25" w:rsidRPr="004878D7" w:rsidRDefault="00000000" w:rsidP="004878D7">
      <w:pPr>
        <w:pStyle w:val="2"/>
        <w:rPr>
          <w:rFonts w:ascii="Segoe UI Semilight" w:hAnsi="Segoe UI Semilight" w:cs="Segoe UI Semilight"/>
          <w:sz w:val="24"/>
          <w:szCs w:val="24"/>
        </w:rPr>
      </w:pPr>
      <w:r w:rsidRPr="004878D7">
        <w:rPr>
          <w:rFonts w:ascii="Segoe UI Semilight" w:hAnsi="Segoe UI Semilight" w:cs="Segoe UI Semilight"/>
          <w:sz w:val="24"/>
          <w:szCs w:val="24"/>
        </w:rPr>
        <w:t>Agentivité développementale</w:t>
      </w:r>
    </w:p>
    <w:p w14:paraId="7DA7D9A6" w14:textId="2DFE45DE" w:rsidR="00EA5C25" w:rsidRPr="004878D7" w:rsidRDefault="00CF764F" w:rsidP="00CF764F">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Le développement de l'agentivité s'inscrit nécessairement dans un cadre plus large, celui des conceptions culturellement construites du soi (Luciano). Le continuum entre sociétés individualistes et collectivistes, théorisé notamment par Mauss puis Dumont, suggère que la culture constitue le contexte dans lequel se développe un processus expérientiel humain plus fondamental et universel : l'agentivité personnelle. Dans les populations indiennes, le discours sur le soi apparaît davantage ancré dans les représentations familiales que dans les représentations individuelles. Il a ainsi été proposé que, dans les sociétés collectivistes, où la famille constitue le principal référent identitaire plutôt que l'individu, les manifestations de possession spirituelle et de dissociation de l'identité revêtent des formes qualitativement différentes de celles observées dans les sociétés individualistes. Cette hypothèse est étayée par des données épidémiologiques rapportant une prévalence plus élevée de la possession spirituelle et des troubles dissociatifs dans les sociétés connaissant des transformations sociales rapides ou des conflits communautaires (</w:t>
      </w:r>
      <w:proofErr w:type="spellStart"/>
      <w:r w:rsidRPr="004878D7">
        <w:rPr>
          <w:rFonts w:ascii="Segoe UI Semilight" w:hAnsi="Segoe UI Semilight" w:cs="Segoe UI Semilight"/>
          <w:sz w:val="18"/>
          <w:szCs w:val="18"/>
        </w:rPr>
        <w:t>Igreja</w:t>
      </w:r>
      <w:proofErr w:type="spellEnd"/>
      <w:r w:rsidRPr="004878D7">
        <w:rPr>
          <w:rFonts w:ascii="Segoe UI Semilight" w:hAnsi="Segoe UI Semilight" w:cs="Segoe UI Semilight"/>
          <w:sz w:val="18"/>
          <w:szCs w:val="18"/>
        </w:rPr>
        <w:t xml:space="preserve"> et al.). Les croyances culturelles relatives au soi constitueraient ainsi le cadre au sein duquel se développe l'agentivité ; dès lors, tout conflit entre ces représentations culturelles serait susceptible d'entraîner des perturbations ou une déstabilisation du sentiment d'agentivité personnelle.</w:t>
      </w:r>
    </w:p>
    <w:p w14:paraId="2B55C3D2"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Toutefois, l'idée d'un « soi cultivé » n'est pas exempte de critiques méthodologiques : la notion de « soi » demeurerait trop confuse pour rendre compte de la variance culturelle observée, en raison notamment d'une « barrière empathique » rendant difficile, pour l'observateur occidental, la compréhension d'une configuration du soi non occidentale. Morris décrit une opposition entre soi </w:t>
      </w:r>
      <w:proofErr w:type="spellStart"/>
      <w:r w:rsidRPr="004878D7">
        <w:rPr>
          <w:rFonts w:ascii="Segoe UI Semilight" w:hAnsi="Segoe UI Semilight" w:cs="Segoe UI Semilight"/>
          <w:sz w:val="18"/>
          <w:szCs w:val="18"/>
        </w:rPr>
        <w:t>sociocentrique</w:t>
      </w:r>
      <w:proofErr w:type="spellEnd"/>
      <w:r w:rsidRPr="004878D7">
        <w:rPr>
          <w:rFonts w:ascii="Segoe UI Semilight" w:hAnsi="Segoe UI Semilight" w:cs="Segoe UI Semilight"/>
          <w:sz w:val="18"/>
          <w:szCs w:val="18"/>
        </w:rPr>
        <w:t xml:space="preserve"> (identité fondée sur la parenté et la famille, prévalant dans les cultures orientales) et soi égocentrique ou individualiste (centré sur l'individu, caractéristique des cultures occidentales), distinction également retrouvée chez Hofstede.</w:t>
      </w:r>
    </w:p>
    <w:p w14:paraId="1446155A" w14:textId="77777777" w:rsidR="00EA5C25" w:rsidRPr="004878D7" w:rsidRDefault="00000000" w:rsidP="004878D7">
      <w:pPr>
        <w:pStyle w:val="2"/>
        <w:rPr>
          <w:rFonts w:ascii="Segoe UI Semilight" w:hAnsi="Segoe UI Semilight" w:cs="Segoe UI Semilight"/>
          <w:sz w:val="24"/>
          <w:szCs w:val="24"/>
        </w:rPr>
      </w:pPr>
      <w:r w:rsidRPr="004878D7">
        <w:rPr>
          <w:rFonts w:ascii="Segoe UI Semilight" w:hAnsi="Segoe UI Semilight" w:cs="Segoe UI Semilight"/>
          <w:sz w:val="24"/>
          <w:szCs w:val="24"/>
        </w:rPr>
        <w:t>Culture en transition</w:t>
      </w:r>
    </w:p>
    <w:p w14:paraId="5FADCACD"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 xml:space="preserve">Les cultures en transition présenteraient donc des taux différentiels de ces états, reflétant la déstabilisation des expériences individuelles d'agentivité dans un contexte de mutation rapide des conceptions culturelles du soi. La mondialisation et l'urbanisation qui en </w:t>
      </w:r>
      <w:proofErr w:type="gramStart"/>
      <w:r w:rsidRPr="004878D7">
        <w:rPr>
          <w:rFonts w:ascii="Segoe UI Semilight" w:hAnsi="Segoe UI Semilight" w:cs="Segoe UI Semilight"/>
          <w:sz w:val="18"/>
          <w:szCs w:val="18"/>
        </w:rPr>
        <w:t>résulte</w:t>
      </w:r>
      <w:proofErr w:type="gramEnd"/>
      <w:r w:rsidRPr="004878D7">
        <w:rPr>
          <w:rFonts w:ascii="Segoe UI Semilight" w:hAnsi="Segoe UI Semilight" w:cs="Segoe UI Semilight"/>
          <w:sz w:val="18"/>
          <w:szCs w:val="18"/>
        </w:rPr>
        <w:t xml:space="preserve"> modifient la perméabilité des frontières culturelles ; la tentative de </w:t>
      </w:r>
      <w:r w:rsidRPr="004878D7">
        <w:rPr>
          <w:rFonts w:ascii="Segoe UI Semilight" w:hAnsi="Segoe UI Semilight" w:cs="Segoe UI Semilight"/>
          <w:sz w:val="18"/>
          <w:szCs w:val="18"/>
        </w:rPr>
        <w:lastRenderedPageBreak/>
        <w:t>rapprocher transe/possession dissociative et possession spirituelle constituerait ainsi une démarche visant à rendre cette catégorie diagnostique attentive à une culture complexe et globalisée. Au-delà des enjeux conceptuels, cette relation revêt une importance pratique pour l'organisation des soins de santé mentale hors des pays occidentaux, notamment quant à la définition de ce qui constitue une maladie nécessitant un traitement.</w:t>
      </w:r>
    </w:p>
    <w:p w14:paraId="294A01A7" w14:textId="77777777" w:rsidR="00EA5C25" w:rsidRPr="004878D7" w:rsidRDefault="00000000" w:rsidP="004878D7">
      <w:pPr>
        <w:pStyle w:val="1"/>
        <w:spacing w:after="120"/>
        <w:rPr>
          <w:rFonts w:ascii="Segoe UI Semilight" w:hAnsi="Segoe UI Semilight" w:cs="Segoe UI Semilight"/>
          <w:sz w:val="28"/>
          <w:szCs w:val="28"/>
        </w:rPr>
      </w:pPr>
      <w:r w:rsidRPr="004878D7">
        <w:rPr>
          <w:rFonts w:ascii="Segoe UI Semilight" w:hAnsi="Segoe UI Semilight" w:cs="Segoe UI Semilight"/>
          <w:sz w:val="28"/>
          <w:szCs w:val="28"/>
        </w:rPr>
        <w:t>Conclusion</w:t>
      </w:r>
    </w:p>
    <w:p w14:paraId="172E1BB8" w14:textId="77777777" w:rsidR="00EA5C25" w:rsidRPr="004878D7"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La littérature relative à la transe dissociative et aux états de possession fait apparaître une scission profonde mais jugée non nécessaire par les auteurs. En situant ces deux catégories phénoménologiques comme des perturbations de l'agentivité, il devient possible de tendre vers une formulation commune de ces expériences, orientée et façonnée par le contexte socioculturel, dépassant ainsi certaines difficultés méthodologiques propres à ce champ de la psychopathologie. Les limites des définitions diagnostiques actuelles des états de possession et de transe tiennent à la fois au positionnement théorique sous-jacent de la psychiatrie et au développement historique de la psychiatrie occidentale ; de même, la distinction entre définitions psychiatriques et concept anthropologique de possession spirituelle s'ancre dans le contexte historique propre à chacune de ces disciplines et à leurs intérêts respectifs.</w:t>
      </w:r>
    </w:p>
    <w:p w14:paraId="5EEA1039" w14:textId="77777777" w:rsidR="00EA5C25" w:rsidRDefault="00000000">
      <w:pPr>
        <w:spacing w:after="150" w:line="276" w:lineRule="auto"/>
        <w:jc w:val="both"/>
        <w:rPr>
          <w:rFonts w:ascii="Segoe UI Semilight" w:hAnsi="Segoe UI Semilight" w:cs="Segoe UI Semilight"/>
          <w:sz w:val="18"/>
          <w:szCs w:val="18"/>
        </w:rPr>
      </w:pPr>
      <w:r w:rsidRPr="004878D7">
        <w:rPr>
          <w:rFonts w:ascii="Segoe UI Semilight" w:hAnsi="Segoe UI Semilight" w:cs="Segoe UI Semilight"/>
          <w:sz w:val="18"/>
          <w:szCs w:val="18"/>
        </w:rPr>
        <w:t>Les auteurs préconisent le développement de modèles théoriques intégrant le contexte socioculturel dans la description de la transe dissociative, étudiée conjointement à d'autres catégories d'expérience impliquant l'agentivité. La rareté rapportée de la transe dissociative dans les contextes non occidentaux devrait être réévaluée dans des études explorant conjointement catégories dissociatives diagnostiques et catégories indigènes locales, afin que transe dissociative et états de possession puissent être appréhendés au sein d'un cadre commun. Des caractéristiques telles que le niveau de détresse, le caractère délibéré et l'acceptabilité culturelle devraient être intégrées à la compréhension psychiatrique de ces expériences. L'incertitude entourant cette catégorie diagnostique persistera tant que les définitions continueront d'ignorer le contexte sociétal.</w:t>
      </w:r>
    </w:p>
    <w:p w14:paraId="34483C22" w14:textId="0A39965C" w:rsidR="0004636C" w:rsidRPr="0004636C" w:rsidRDefault="0004636C" w:rsidP="0004636C">
      <w:pPr>
        <w:spacing w:after="150" w:line="276" w:lineRule="auto"/>
        <w:jc w:val="center"/>
        <w:rPr>
          <w:rFonts w:ascii="Segoe UI Semilight" w:hAnsi="Segoe UI Semilight" w:cs="Segoe UI Semilight"/>
          <w:b/>
          <w:bCs/>
          <w:sz w:val="18"/>
          <w:szCs w:val="18"/>
        </w:rPr>
      </w:pPr>
      <w:r w:rsidRPr="0004636C">
        <w:rPr>
          <w:rFonts w:ascii="Segoe UI Semilight" w:hAnsi="Segoe UI Semilight" w:cs="Segoe UI Semilight"/>
          <w:b/>
          <w:bCs/>
          <w:sz w:val="18"/>
          <w:szCs w:val="18"/>
        </w:rPr>
        <w:t>Dr Chakri Soukayna</w:t>
      </w:r>
    </w:p>
    <w:p w14:paraId="13B3CFBB" w14:textId="4A3DCD37" w:rsidR="0004636C" w:rsidRPr="0004636C" w:rsidRDefault="0004636C" w:rsidP="0004636C">
      <w:pPr>
        <w:spacing w:after="150" w:line="276" w:lineRule="auto"/>
        <w:jc w:val="center"/>
        <w:rPr>
          <w:rFonts w:ascii="Segoe UI Semilight" w:hAnsi="Segoe UI Semilight" w:cs="Segoe UI Semilight"/>
          <w:b/>
          <w:bCs/>
          <w:sz w:val="18"/>
          <w:szCs w:val="18"/>
        </w:rPr>
      </w:pPr>
      <w:r w:rsidRPr="0004636C">
        <w:rPr>
          <w:rFonts w:ascii="Segoe UI Semilight" w:hAnsi="Segoe UI Semilight" w:cs="Segoe UI Semilight"/>
          <w:b/>
          <w:bCs/>
          <w:sz w:val="18"/>
          <w:szCs w:val="18"/>
        </w:rPr>
        <w:t>Centre psychiatrique universitaire d’agadir</w:t>
      </w:r>
    </w:p>
    <w:p w14:paraId="712459B3" w14:textId="5A9B1320" w:rsidR="0004636C" w:rsidRPr="0004636C" w:rsidRDefault="0004636C" w:rsidP="0004636C">
      <w:pPr>
        <w:spacing w:after="150" w:line="276" w:lineRule="auto"/>
        <w:jc w:val="center"/>
        <w:rPr>
          <w:rFonts w:ascii="Segoe UI Semilight" w:hAnsi="Segoe UI Semilight" w:cs="Segoe UI Semilight"/>
          <w:b/>
          <w:bCs/>
          <w:sz w:val="18"/>
          <w:szCs w:val="18"/>
        </w:rPr>
      </w:pPr>
      <w:r w:rsidRPr="0004636C">
        <w:rPr>
          <w:rFonts w:ascii="Segoe UI Semilight" w:hAnsi="Segoe UI Semilight" w:cs="Segoe UI Semilight"/>
          <w:b/>
          <w:bCs/>
          <w:sz w:val="18"/>
          <w:szCs w:val="18"/>
        </w:rPr>
        <w:t>Juillet 2026</w:t>
      </w:r>
    </w:p>
    <w:sectPr w:rsidR="0004636C" w:rsidRPr="0004636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02B1C"/>
    <w:multiLevelType w:val="hybridMultilevel"/>
    <w:tmpl w:val="13A280C4"/>
    <w:lvl w:ilvl="0" w:tplc="714CD2A4">
      <w:start w:val="1"/>
      <w:numFmt w:val="bullet"/>
      <w:lvlText w:val="●"/>
      <w:lvlJc w:val="left"/>
      <w:pPr>
        <w:ind w:left="720" w:hanging="360"/>
      </w:pPr>
    </w:lvl>
    <w:lvl w:ilvl="1" w:tplc="6C44D0B4">
      <w:start w:val="1"/>
      <w:numFmt w:val="bullet"/>
      <w:lvlText w:val="○"/>
      <w:lvlJc w:val="left"/>
      <w:pPr>
        <w:ind w:left="1440" w:hanging="360"/>
      </w:pPr>
    </w:lvl>
    <w:lvl w:ilvl="2" w:tplc="2A767274">
      <w:start w:val="1"/>
      <w:numFmt w:val="bullet"/>
      <w:lvlText w:val="■"/>
      <w:lvlJc w:val="left"/>
      <w:pPr>
        <w:ind w:left="2160" w:hanging="360"/>
      </w:pPr>
    </w:lvl>
    <w:lvl w:ilvl="3" w:tplc="5F3606C8">
      <w:start w:val="1"/>
      <w:numFmt w:val="bullet"/>
      <w:lvlText w:val="●"/>
      <w:lvlJc w:val="left"/>
      <w:pPr>
        <w:ind w:left="2880" w:hanging="360"/>
      </w:pPr>
    </w:lvl>
    <w:lvl w:ilvl="4" w:tplc="7D8ABF5E">
      <w:start w:val="1"/>
      <w:numFmt w:val="bullet"/>
      <w:lvlText w:val="○"/>
      <w:lvlJc w:val="left"/>
      <w:pPr>
        <w:ind w:left="3600" w:hanging="360"/>
      </w:pPr>
    </w:lvl>
    <w:lvl w:ilvl="5" w:tplc="F3D4A25A">
      <w:start w:val="1"/>
      <w:numFmt w:val="bullet"/>
      <w:lvlText w:val="■"/>
      <w:lvlJc w:val="left"/>
      <w:pPr>
        <w:ind w:left="4320" w:hanging="360"/>
      </w:pPr>
    </w:lvl>
    <w:lvl w:ilvl="6" w:tplc="02A48F54">
      <w:start w:val="1"/>
      <w:numFmt w:val="bullet"/>
      <w:lvlText w:val="●"/>
      <w:lvlJc w:val="left"/>
      <w:pPr>
        <w:ind w:left="5040" w:hanging="360"/>
      </w:pPr>
    </w:lvl>
    <w:lvl w:ilvl="7" w:tplc="07885538">
      <w:start w:val="1"/>
      <w:numFmt w:val="bullet"/>
      <w:lvlText w:val="●"/>
      <w:lvlJc w:val="left"/>
      <w:pPr>
        <w:ind w:left="5760" w:hanging="360"/>
      </w:pPr>
    </w:lvl>
    <w:lvl w:ilvl="8" w:tplc="C69E3056">
      <w:start w:val="1"/>
      <w:numFmt w:val="bullet"/>
      <w:lvlText w:val="●"/>
      <w:lvlJc w:val="left"/>
      <w:pPr>
        <w:ind w:left="6480" w:hanging="360"/>
      </w:pPr>
    </w:lvl>
  </w:abstractNum>
  <w:num w:numId="1" w16cid:durableId="3442836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C25"/>
    <w:rsid w:val="0004636C"/>
    <w:rsid w:val="000B6BF2"/>
    <w:rsid w:val="004878D7"/>
    <w:rsid w:val="0075390A"/>
    <w:rsid w:val="00776818"/>
    <w:rsid w:val="009162CB"/>
    <w:rsid w:val="00A85E1C"/>
    <w:rsid w:val="00CF764F"/>
    <w:rsid w:val="00D82998"/>
    <w:rsid w:val="00EA5C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7F8E"/>
  <w15:docId w15:val="{DAD7827A-EBE6-4FE4-8781-D4B1F994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customStyle="1" w:styleId="1">
    <w:name w:val="1"/>
    <w:basedOn w:val="Normal"/>
    <w:link w:val="1Car"/>
    <w:qFormat/>
    <w:rsid w:val="004878D7"/>
    <w:rPr>
      <w:b/>
      <w:bCs/>
      <w:color w:val="EE0000"/>
      <w:sz w:val="32"/>
      <w:szCs w:val="32"/>
    </w:rPr>
  </w:style>
  <w:style w:type="character" w:customStyle="1" w:styleId="1Car">
    <w:name w:val="1 Car"/>
    <w:basedOn w:val="Policepardfaut"/>
    <w:link w:val="1"/>
    <w:rsid w:val="004878D7"/>
    <w:rPr>
      <w:b/>
      <w:bCs/>
      <w:color w:val="EE0000"/>
      <w:sz w:val="32"/>
      <w:szCs w:val="32"/>
    </w:rPr>
  </w:style>
  <w:style w:type="paragraph" w:customStyle="1" w:styleId="2">
    <w:name w:val="2"/>
    <w:basedOn w:val="1"/>
    <w:link w:val="2Car"/>
    <w:qFormat/>
    <w:rsid w:val="004878D7"/>
    <w:pPr>
      <w:spacing w:after="120"/>
    </w:pPr>
    <w:rPr>
      <w:i/>
      <w:iCs/>
      <w:color w:val="4EA72E" w:themeColor="accent6"/>
      <w:sz w:val="26"/>
      <w:szCs w:val="26"/>
    </w:rPr>
  </w:style>
  <w:style w:type="character" w:customStyle="1" w:styleId="2Car">
    <w:name w:val="2 Car"/>
    <w:basedOn w:val="1Car"/>
    <w:link w:val="2"/>
    <w:rsid w:val="004878D7"/>
    <w:rPr>
      <w:b/>
      <w:bCs/>
      <w:i/>
      <w:iCs/>
      <w:color w:val="4EA72E" w:themeColor="accent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991</TotalTime>
  <Pages>1</Pages>
  <Words>2507</Words>
  <Characters>13789</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khadija Akebour</cp:lastModifiedBy>
  <cp:revision>8</cp:revision>
  <dcterms:created xsi:type="dcterms:W3CDTF">2026-07-25T20:39:00Z</dcterms:created>
  <dcterms:modified xsi:type="dcterms:W3CDTF">2026-07-26T21:21:00Z</dcterms:modified>
</cp:coreProperties>
</file>