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95FE4A" w14:textId="17E81521" w:rsidR="004A2517" w:rsidRPr="004A2517" w:rsidRDefault="004A2517" w:rsidP="004A2517">
      <w:pPr>
        <w:jc w:val="center"/>
        <w:rPr>
          <w:b/>
          <w:bCs/>
          <w:sz w:val="48"/>
          <w:szCs w:val="48"/>
        </w:rPr>
      </w:pPr>
    </w:p>
    <w:p w14:paraId="624919CC" w14:textId="77777777" w:rsidR="004A2517" w:rsidRPr="004A2517" w:rsidRDefault="004A2517" w:rsidP="004A2517">
      <w:pPr>
        <w:jc w:val="center"/>
        <w:rPr>
          <w:b/>
          <w:bCs/>
          <w:sz w:val="48"/>
          <w:szCs w:val="48"/>
        </w:rPr>
      </w:pPr>
    </w:p>
    <w:p w14:paraId="03829EF4" w14:textId="77777777" w:rsidR="004A2517" w:rsidRDefault="004A2517" w:rsidP="004A2517">
      <w:pPr>
        <w:jc w:val="center"/>
        <w:rPr>
          <w:b/>
          <w:bCs/>
        </w:rPr>
      </w:pPr>
    </w:p>
    <w:p w14:paraId="54996243" w14:textId="7409635E" w:rsidR="004A2517" w:rsidRDefault="004A2517" w:rsidP="004A2517">
      <w:pPr>
        <w:jc w:val="center"/>
        <w:rPr>
          <w:b/>
          <w:bCs/>
        </w:rPr>
      </w:pPr>
      <w:r w:rsidRPr="004A2517">
        <w:rPr>
          <w:b/>
          <w:bCs/>
          <w:noProof/>
        </w:rPr>
        <w:drawing>
          <wp:inline distT="0" distB="0" distL="0" distR="0" wp14:anchorId="1365917B" wp14:editId="7477BE9F">
            <wp:extent cx="6468523" cy="1476375"/>
            <wp:effectExtent l="0" t="0" r="8890" b="0"/>
            <wp:docPr id="50835013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350132" name=""/>
                    <pic:cNvPicPr/>
                  </pic:nvPicPr>
                  <pic:blipFill>
                    <a:blip r:embed="rId5"/>
                    <a:stretch>
                      <a:fillRect/>
                    </a:stretch>
                  </pic:blipFill>
                  <pic:spPr>
                    <a:xfrm>
                      <a:off x="0" y="0"/>
                      <a:ext cx="6474195" cy="1477670"/>
                    </a:xfrm>
                    <a:prstGeom prst="rect">
                      <a:avLst/>
                    </a:prstGeom>
                  </pic:spPr>
                </pic:pic>
              </a:graphicData>
            </a:graphic>
          </wp:inline>
        </w:drawing>
      </w:r>
    </w:p>
    <w:p w14:paraId="73D7D558" w14:textId="77777777" w:rsidR="004A2517" w:rsidRDefault="004A2517" w:rsidP="004A2517">
      <w:pPr>
        <w:rPr>
          <w:b/>
          <w:bCs/>
        </w:rPr>
      </w:pPr>
    </w:p>
    <w:p w14:paraId="53B0EF78" w14:textId="77777777" w:rsidR="004A2517" w:rsidRPr="004A2517" w:rsidRDefault="004A2517" w:rsidP="004A2517">
      <w:pPr>
        <w:jc w:val="both"/>
        <w:rPr>
          <w:sz w:val="24"/>
          <w:szCs w:val="24"/>
        </w:rPr>
      </w:pPr>
      <w:r w:rsidRPr="004A2517">
        <w:rPr>
          <w:sz w:val="24"/>
          <w:szCs w:val="24"/>
        </w:rPr>
        <w:t>Le trouble neurologique fonctionnel (</w:t>
      </w:r>
      <w:proofErr w:type="spellStart"/>
      <w:r w:rsidRPr="004A2517">
        <w:rPr>
          <w:sz w:val="24"/>
          <w:szCs w:val="24"/>
        </w:rPr>
        <w:t>Functional</w:t>
      </w:r>
      <w:proofErr w:type="spellEnd"/>
      <w:r w:rsidRPr="004A2517">
        <w:rPr>
          <w:sz w:val="24"/>
          <w:szCs w:val="24"/>
        </w:rPr>
        <w:t xml:space="preserve"> </w:t>
      </w:r>
      <w:proofErr w:type="spellStart"/>
      <w:r w:rsidRPr="004A2517">
        <w:rPr>
          <w:sz w:val="24"/>
          <w:szCs w:val="24"/>
        </w:rPr>
        <w:t>Neurological</w:t>
      </w:r>
      <w:proofErr w:type="spellEnd"/>
      <w:r w:rsidRPr="004A2517">
        <w:rPr>
          <w:sz w:val="24"/>
          <w:szCs w:val="24"/>
        </w:rPr>
        <w:t xml:space="preserve"> </w:t>
      </w:r>
      <w:proofErr w:type="spellStart"/>
      <w:r w:rsidRPr="004A2517">
        <w:rPr>
          <w:sz w:val="24"/>
          <w:szCs w:val="24"/>
        </w:rPr>
        <w:t>Disorder</w:t>
      </w:r>
      <w:proofErr w:type="spellEnd"/>
      <w:r w:rsidRPr="004A2517">
        <w:rPr>
          <w:sz w:val="24"/>
          <w:szCs w:val="24"/>
        </w:rPr>
        <w:t>, FND) est l’un des troubles neurologiques les plus fréquents rencontrés en pratique clinique, quel que soit le contexte de soins ou l’âge des patients. Il constitue une cause majeure de handicap fonctionnel et est associé à une utilisation importante des ressources de santé ainsi qu’à un coût économique élevé. Les auteurs soulignent que, malgré cette fréquence, le FND reste insuffisamment reconnu, souvent mal diagnostiqué et encore entouré de nombreuses idées reçues, ce qui contribue au retard diagnostique et à l’errance médicale. Les études récentes montrent également une morbidité importante et une mortalité accrue, notamment dans le sous-type des crises fonctionnelles (</w:t>
      </w:r>
      <w:proofErr w:type="spellStart"/>
      <w:r w:rsidRPr="004A2517">
        <w:rPr>
          <w:sz w:val="24"/>
          <w:szCs w:val="24"/>
        </w:rPr>
        <w:t>Functional</w:t>
      </w:r>
      <w:proofErr w:type="spellEnd"/>
      <w:r w:rsidRPr="004A2517">
        <w:rPr>
          <w:sz w:val="24"/>
          <w:szCs w:val="24"/>
        </w:rPr>
        <w:t xml:space="preserve">/Dissociative </w:t>
      </w:r>
      <w:proofErr w:type="spellStart"/>
      <w:r w:rsidRPr="004A2517">
        <w:rPr>
          <w:sz w:val="24"/>
          <w:szCs w:val="24"/>
        </w:rPr>
        <w:t>Seizures</w:t>
      </w:r>
      <w:proofErr w:type="spellEnd"/>
      <w:r w:rsidRPr="004A2517">
        <w:rPr>
          <w:sz w:val="24"/>
          <w:szCs w:val="24"/>
        </w:rPr>
        <w:t xml:space="preserve"> – F/DS). Les avancées scientifiques des vingt dernières années ont cependant profondément modifié la compréhension de cette pathologie, permettant d’abandonner progressivement l’idée d’un diagnostic purement psychogène au profit d’un modèle fondé sur le fonctionnement cérébral.</w:t>
      </w:r>
    </w:p>
    <w:p w14:paraId="45DFB159" w14:textId="77777777" w:rsidR="004A2517" w:rsidRPr="004A2517" w:rsidRDefault="004A2517" w:rsidP="004A2517">
      <w:pPr>
        <w:jc w:val="both"/>
        <w:rPr>
          <w:sz w:val="24"/>
          <w:szCs w:val="24"/>
        </w:rPr>
      </w:pPr>
      <w:r w:rsidRPr="004A2517">
        <w:rPr>
          <w:sz w:val="24"/>
          <w:szCs w:val="24"/>
        </w:rPr>
        <w:t xml:space="preserve">Le FND est actuellement défini comme un syndrome clinique caractérisé par des symptômes neurologiques authentiquement ressentis, responsables d’une souffrance ou d’une limitation fonctionnelle, en rapport avec un dysfonctionnement du système nerveux sans lésion structurelle objectivable. Les sous-types les plus fréquents sont les crises fonctionnelles et les troubles moteurs fonctionnels (faiblesse, tremblements, dystonie, troubles de la marche), mais le spectre clinique est beaucoup plus large et comprend également les troubles cognitifs fonctionnels, les vertiges persistants, les troubles sensitifs, les troubles de la parole, de la déglutition, de la vision et les troubles vésicaux. Les auteurs insistent sur l’importance de la terminologie utilisée. Les anciens termes tels que « hystérie », « </w:t>
      </w:r>
      <w:proofErr w:type="spellStart"/>
      <w:r w:rsidRPr="004A2517">
        <w:rPr>
          <w:sz w:val="24"/>
          <w:szCs w:val="24"/>
        </w:rPr>
        <w:t>pseudocrises</w:t>
      </w:r>
      <w:proofErr w:type="spellEnd"/>
      <w:r w:rsidRPr="004A2517">
        <w:rPr>
          <w:sz w:val="24"/>
          <w:szCs w:val="24"/>
        </w:rPr>
        <w:t xml:space="preserve"> » ou « psychogène » sont désormais déconseillés car ils peuvent être perçus comme stigmatisants et nuire à la relation thérapeutique. Le terme « </w:t>
      </w:r>
      <w:proofErr w:type="spellStart"/>
      <w:r w:rsidRPr="004A2517">
        <w:rPr>
          <w:sz w:val="24"/>
          <w:szCs w:val="24"/>
        </w:rPr>
        <w:t>Functional</w:t>
      </w:r>
      <w:proofErr w:type="spellEnd"/>
      <w:r w:rsidRPr="004A2517">
        <w:rPr>
          <w:sz w:val="24"/>
          <w:szCs w:val="24"/>
        </w:rPr>
        <w:t xml:space="preserve"> </w:t>
      </w:r>
      <w:proofErr w:type="spellStart"/>
      <w:r w:rsidRPr="004A2517">
        <w:rPr>
          <w:sz w:val="24"/>
          <w:szCs w:val="24"/>
        </w:rPr>
        <w:t>Neurological</w:t>
      </w:r>
      <w:proofErr w:type="spellEnd"/>
      <w:r w:rsidRPr="004A2517">
        <w:rPr>
          <w:sz w:val="24"/>
          <w:szCs w:val="24"/>
        </w:rPr>
        <w:t xml:space="preserve"> </w:t>
      </w:r>
      <w:proofErr w:type="spellStart"/>
      <w:r w:rsidRPr="004A2517">
        <w:rPr>
          <w:sz w:val="24"/>
          <w:szCs w:val="24"/>
        </w:rPr>
        <w:t>Disorder</w:t>
      </w:r>
      <w:proofErr w:type="spellEnd"/>
      <w:r w:rsidRPr="004A2517">
        <w:rPr>
          <w:sz w:val="24"/>
          <w:szCs w:val="24"/>
        </w:rPr>
        <w:t xml:space="preserve"> » est actuellement celui qui est le mieux accepté par les patients comme par les professionnels.</w:t>
      </w:r>
    </w:p>
    <w:p w14:paraId="31A38C9C" w14:textId="77777777" w:rsidR="004A2517" w:rsidRPr="004A2517" w:rsidRDefault="004A2517" w:rsidP="004A2517">
      <w:pPr>
        <w:jc w:val="both"/>
        <w:rPr>
          <w:sz w:val="24"/>
          <w:szCs w:val="24"/>
        </w:rPr>
      </w:pPr>
      <w:r w:rsidRPr="004A2517">
        <w:rPr>
          <w:sz w:val="24"/>
          <w:szCs w:val="24"/>
        </w:rPr>
        <w:t xml:space="preserve">Concernant l’épidémiologie, l’incidence est estimée entre 10 et 22 cas pour 100 000 habitants chez l’adulte, avec une prévalence comprise entre 80 et 140 pour 100 000 habitants. Le trouble débute le plus souvent entre l’adolescence et le milieu de l’âge adulte et touche plus fréquemment les femmes. Les auteurs rappellent cependant que cette prédominance féminine disparaît chez les enfants prépubères et les sujets âgés. Le FND est fréquemment associé à d’autres affections neurologiques ou médicales telles que l’épilepsie, la maladie de Parkinson, la sclérose en plaques ou les suites de traumatisme crânien léger. Les comorbidités psychiatriques sont également fréquentes, notamment les troubles anxieux, la dépression, le trouble de stress post-traumatique et certains troubles de la personnalité, sans être systématiques. Les douleurs chroniques, les troubles du sommeil, la fatigue et les plaintes cognitives constituent également des facteurs </w:t>
      </w:r>
      <w:r w:rsidRPr="004A2517">
        <w:rPr>
          <w:sz w:val="24"/>
          <w:szCs w:val="24"/>
        </w:rPr>
        <w:lastRenderedPageBreak/>
        <w:t>fréquemment retrouvés. Les auteurs défendent une approche biopsychosociale intégrant les facteurs biologiques, psychologiques et environnementaux dans la compréhension du trouble.</w:t>
      </w:r>
    </w:p>
    <w:p w14:paraId="6A55F803" w14:textId="77777777" w:rsidR="004A2517" w:rsidRPr="004A2517" w:rsidRDefault="004A2517" w:rsidP="004A2517">
      <w:pPr>
        <w:jc w:val="both"/>
        <w:rPr>
          <w:sz w:val="24"/>
          <w:szCs w:val="24"/>
        </w:rPr>
      </w:pPr>
      <w:r w:rsidRPr="004A2517">
        <w:rPr>
          <w:sz w:val="24"/>
          <w:szCs w:val="24"/>
        </w:rPr>
        <w:t>Les données actuelles suggèrent que le FND résulte d’un dysfonctionnement des réseaux cérébraux impliqués dans le contrôle moteur, la perception corporelle, le traitement des émotions, l’agentivité, l’</w:t>
      </w:r>
      <w:proofErr w:type="spellStart"/>
      <w:r w:rsidRPr="004A2517">
        <w:rPr>
          <w:sz w:val="24"/>
          <w:szCs w:val="24"/>
        </w:rPr>
        <w:t>interoception</w:t>
      </w:r>
      <w:proofErr w:type="spellEnd"/>
      <w:r w:rsidRPr="004A2517">
        <w:rPr>
          <w:sz w:val="24"/>
          <w:szCs w:val="24"/>
        </w:rPr>
        <w:t xml:space="preserve"> et les mécanismes de prédiction cérébrale (« </w:t>
      </w:r>
      <w:proofErr w:type="spellStart"/>
      <w:r w:rsidRPr="004A2517">
        <w:rPr>
          <w:sz w:val="24"/>
          <w:szCs w:val="24"/>
        </w:rPr>
        <w:t>predictive</w:t>
      </w:r>
      <w:proofErr w:type="spellEnd"/>
      <w:r w:rsidRPr="004A2517">
        <w:rPr>
          <w:sz w:val="24"/>
          <w:szCs w:val="24"/>
        </w:rPr>
        <w:t xml:space="preserve"> </w:t>
      </w:r>
      <w:proofErr w:type="spellStart"/>
      <w:r w:rsidRPr="004A2517">
        <w:rPr>
          <w:sz w:val="24"/>
          <w:szCs w:val="24"/>
        </w:rPr>
        <w:t>coding</w:t>
      </w:r>
      <w:proofErr w:type="spellEnd"/>
      <w:r w:rsidRPr="004A2517">
        <w:rPr>
          <w:sz w:val="24"/>
          <w:szCs w:val="24"/>
        </w:rPr>
        <w:t xml:space="preserve"> »). Les études d’imagerie cérébrale mettent notamment en évidence l’implication de structures telles que l’amygdale, le cortex orbitofrontal et le cortex cingulaire antérieur. Ces résultats soutiennent l’idée que le FND correspond à une altération fonctionnelle du cerveau plutôt qu’à une maladie psychiatrique isolée ou à une simulation des symptômes. À ce jour, aucun biomarqueur diagnostique individuel n’est cependant disponible en pratique clinique.</w:t>
      </w:r>
    </w:p>
    <w:p w14:paraId="7F1885E5" w14:textId="77777777" w:rsidR="004A2517" w:rsidRPr="004A2517" w:rsidRDefault="004A2517" w:rsidP="004A2517">
      <w:pPr>
        <w:jc w:val="both"/>
        <w:rPr>
          <w:sz w:val="24"/>
          <w:szCs w:val="24"/>
        </w:rPr>
      </w:pPr>
      <w:r w:rsidRPr="004A2517">
        <w:rPr>
          <w:sz w:val="24"/>
          <w:szCs w:val="24"/>
        </w:rPr>
        <w:t>Le diagnostic repose désormais sur des critères positifs, conformément au DSM-5, et non plus sur un diagnostic d’exclusion. Il nécessite une anamnèse détaillée, une écoute attentive du patient et un examen neurologique recherchant des signes spécifiques tels que le signe de Hoover, le phénomène d’entraînement des tremblements, l’amélioration des déficits sous distraction ou encore certains signes caractéristiques des crises fonctionnelles (fermeture des yeux, mouvements asynchrones, évolution fluctuante ou prolongée). Les auteurs soulignent qu’un diagnostic positif permet de limiter les examens complémentaires inutiles tout en restant vigilant devant la possibilité d’une pathologie neurologique associée. Ils rappellent également que le FND doit être recherché activement devant tout symptôme neurologique inexpliqué.</w:t>
      </w:r>
    </w:p>
    <w:p w14:paraId="6AD5973A" w14:textId="77777777" w:rsidR="004A2517" w:rsidRPr="004A2517" w:rsidRDefault="004A2517" w:rsidP="004A2517">
      <w:pPr>
        <w:jc w:val="both"/>
        <w:rPr>
          <w:sz w:val="24"/>
          <w:szCs w:val="24"/>
        </w:rPr>
      </w:pPr>
      <w:r w:rsidRPr="004A2517">
        <w:rPr>
          <w:sz w:val="24"/>
          <w:szCs w:val="24"/>
        </w:rPr>
        <w:t>L’annonce diagnostique représente une étape thérapeutique majeure. Les auteurs recommandent d’expliquer clairement au patient que ses symptômes sont réels, involontaires et liés à un dysfonctionnement du fonctionnement cérébral. L’explication doit être individualisée, illustrée par les signes positifs retrouvés à l’examen clinique et accompagnée d’une description simple des mécanismes du trouble. Une communication empathique, transparente et centrée sur le patient améliore l’acceptation du diagnostic, réduit la stigmatisation et favorise l’engagement dans les soins. L’entretien motivationnel peut également renforcer l’adhésion thérapeutique et améliorer les résultats cliniques.</w:t>
      </w:r>
    </w:p>
    <w:p w14:paraId="1F1781C9" w14:textId="77777777" w:rsidR="004A2517" w:rsidRDefault="004A2517" w:rsidP="004A2517">
      <w:pPr>
        <w:jc w:val="both"/>
        <w:rPr>
          <w:sz w:val="24"/>
          <w:szCs w:val="24"/>
        </w:rPr>
      </w:pPr>
      <w:r w:rsidRPr="004A2517">
        <w:rPr>
          <w:sz w:val="24"/>
          <w:szCs w:val="24"/>
        </w:rPr>
        <w:t xml:space="preserve">La prise en charge repose sur une approche multidisciplinaire associant neurologues, psychiatres, psychologues, kinésithérapeutes, ergothérapeutes et orthophonistes selon la présentation clinique. Les traitements bénéficiant du meilleur niveau de preuve sont les psychothérapies, principalement les thérapies </w:t>
      </w:r>
      <w:proofErr w:type="spellStart"/>
      <w:r w:rsidRPr="004A2517">
        <w:rPr>
          <w:sz w:val="24"/>
          <w:szCs w:val="24"/>
        </w:rPr>
        <w:t>cognitivo</w:t>
      </w:r>
      <w:proofErr w:type="spellEnd"/>
      <w:r w:rsidRPr="004A2517">
        <w:rPr>
          <w:sz w:val="24"/>
          <w:szCs w:val="24"/>
        </w:rPr>
        <w:t>-comportementales, ainsi que les programmes de rééducation spécifiques aux troubles moteurs fonctionnels. Les recommandations insistent sur l’importance d’une prise en charge personnalisée, adaptée au phénotype clinique, aux comorbidités et au niveau d’engagement du patient. Les traitements pharmacologiques n’ont, à ce jour, démontré aucune efficacité spécifique sur les symptômes du FND et doivent être réservés au traitement des pathologies psychiatriques ou somatiques associées. Enfin, les auteurs rappellent que la prise en charge doit être initiée précocement, coordonnée entre les différents intervenants et centrée sur la restauration des capacités fonctionnelles plutôt que sur la disparition complète des symptômes.</w:t>
      </w:r>
    </w:p>
    <w:p w14:paraId="1832CA38" w14:textId="77777777" w:rsidR="004A2517" w:rsidRPr="004A2517" w:rsidRDefault="004A2517" w:rsidP="004A2517">
      <w:pPr>
        <w:jc w:val="both"/>
        <w:rPr>
          <w:sz w:val="24"/>
          <w:szCs w:val="24"/>
        </w:rPr>
      </w:pPr>
    </w:p>
    <w:p w14:paraId="7A514F51" w14:textId="3D7F4830" w:rsidR="004A2517" w:rsidRPr="004A2517" w:rsidRDefault="004A2517" w:rsidP="009E6157">
      <w:pPr>
        <w:jc w:val="center"/>
        <w:rPr>
          <w:b/>
          <w:bCs/>
          <w:sz w:val="32"/>
          <w:szCs w:val="32"/>
        </w:rPr>
      </w:pPr>
      <w:r w:rsidRPr="004A2517">
        <w:rPr>
          <w:b/>
          <w:bCs/>
          <w:sz w:val="32"/>
          <w:szCs w:val="32"/>
        </w:rPr>
        <w:t>Cinq points essentiels à retenir</w:t>
      </w:r>
    </w:p>
    <w:p w14:paraId="599C5503" w14:textId="77777777" w:rsidR="004A2517" w:rsidRPr="004A2517" w:rsidRDefault="004A2517" w:rsidP="004A2517">
      <w:pPr>
        <w:numPr>
          <w:ilvl w:val="0"/>
          <w:numId w:val="1"/>
        </w:numPr>
        <w:rPr>
          <w:sz w:val="24"/>
          <w:szCs w:val="24"/>
        </w:rPr>
      </w:pPr>
      <w:r w:rsidRPr="004A2517">
        <w:rPr>
          <w:b/>
          <w:bCs/>
          <w:sz w:val="24"/>
          <w:szCs w:val="24"/>
        </w:rPr>
        <w:t>Le FND est un véritable trouble neurologique</w:t>
      </w:r>
      <w:r w:rsidRPr="004A2517">
        <w:rPr>
          <w:sz w:val="24"/>
          <w:szCs w:val="24"/>
        </w:rPr>
        <w:t>, associé à un dysfonctionnement des réseaux cérébraux, et non à une simulation ou à une production volontaire des symptômes.</w:t>
      </w:r>
    </w:p>
    <w:p w14:paraId="5D763678" w14:textId="77777777" w:rsidR="004A2517" w:rsidRPr="004A2517" w:rsidRDefault="004A2517" w:rsidP="004A2517">
      <w:pPr>
        <w:numPr>
          <w:ilvl w:val="0"/>
          <w:numId w:val="1"/>
        </w:numPr>
        <w:rPr>
          <w:sz w:val="24"/>
          <w:szCs w:val="24"/>
        </w:rPr>
      </w:pPr>
      <w:r w:rsidRPr="004A2517">
        <w:rPr>
          <w:b/>
          <w:bCs/>
          <w:sz w:val="24"/>
          <w:szCs w:val="24"/>
        </w:rPr>
        <w:t>Le diagnostic est positif</w:t>
      </w:r>
      <w:r w:rsidRPr="004A2517">
        <w:rPr>
          <w:sz w:val="24"/>
          <w:szCs w:val="24"/>
        </w:rPr>
        <w:t>, fondé sur des signes cliniques spécifiques et une évaluation neurologique rigoureuse, sans attendre d’avoir éliminé toutes les autres causes possibles.</w:t>
      </w:r>
    </w:p>
    <w:p w14:paraId="1B148664" w14:textId="77777777" w:rsidR="004A2517" w:rsidRPr="004A2517" w:rsidRDefault="004A2517" w:rsidP="004A2517">
      <w:pPr>
        <w:numPr>
          <w:ilvl w:val="0"/>
          <w:numId w:val="1"/>
        </w:numPr>
        <w:rPr>
          <w:sz w:val="24"/>
          <w:szCs w:val="24"/>
        </w:rPr>
      </w:pPr>
      <w:r w:rsidRPr="004A2517">
        <w:rPr>
          <w:b/>
          <w:bCs/>
          <w:sz w:val="24"/>
          <w:szCs w:val="24"/>
        </w:rPr>
        <w:lastRenderedPageBreak/>
        <w:t>L’annonce du diagnostic fait partie intégrante du traitement</w:t>
      </w:r>
      <w:r w:rsidRPr="004A2517">
        <w:rPr>
          <w:sz w:val="24"/>
          <w:szCs w:val="24"/>
        </w:rPr>
        <w:t xml:space="preserve"> et doit être claire, empathique et centrée sur les mécanismes du trouble afin de favoriser l’adhésion du patient.</w:t>
      </w:r>
    </w:p>
    <w:p w14:paraId="7D747A46" w14:textId="77777777" w:rsidR="004A2517" w:rsidRPr="004A2517" w:rsidRDefault="004A2517" w:rsidP="004A2517">
      <w:pPr>
        <w:numPr>
          <w:ilvl w:val="0"/>
          <w:numId w:val="1"/>
        </w:numPr>
        <w:rPr>
          <w:sz w:val="24"/>
          <w:szCs w:val="24"/>
        </w:rPr>
      </w:pPr>
      <w:r w:rsidRPr="004A2517">
        <w:rPr>
          <w:b/>
          <w:bCs/>
          <w:sz w:val="24"/>
          <w:szCs w:val="24"/>
        </w:rPr>
        <w:t>La prise en charge repose sur une approche multidisciplinaire</w:t>
      </w:r>
      <w:r w:rsidRPr="004A2517">
        <w:rPr>
          <w:sz w:val="24"/>
          <w:szCs w:val="24"/>
        </w:rPr>
        <w:t>, combinant psychothérapies et rééducation spécialisée, adaptées au type de symptômes présentés.</w:t>
      </w:r>
    </w:p>
    <w:p w14:paraId="7883C85C" w14:textId="77777777" w:rsidR="004A2517" w:rsidRPr="004A2517" w:rsidRDefault="004A2517" w:rsidP="004A2517">
      <w:pPr>
        <w:numPr>
          <w:ilvl w:val="0"/>
          <w:numId w:val="1"/>
        </w:numPr>
        <w:rPr>
          <w:sz w:val="24"/>
          <w:szCs w:val="24"/>
        </w:rPr>
      </w:pPr>
      <w:r w:rsidRPr="004A2517">
        <w:rPr>
          <w:b/>
          <w:bCs/>
          <w:sz w:val="24"/>
          <w:szCs w:val="24"/>
        </w:rPr>
        <w:t>Aucun traitement médicamenteux spécifique n’a démontré son efficacité sur le FND</w:t>
      </w:r>
      <w:r w:rsidRPr="004A2517">
        <w:rPr>
          <w:sz w:val="24"/>
          <w:szCs w:val="24"/>
        </w:rPr>
        <w:t xml:space="preserve"> ; les médicaments sont destinés au traitement des comorbidités et non du trouble fonctionnel lui-même.</w:t>
      </w:r>
    </w:p>
    <w:p w14:paraId="6DDB7549" w14:textId="6600A9C0" w:rsidR="009017B5" w:rsidRPr="009E6157" w:rsidRDefault="009E6157" w:rsidP="009E6157">
      <w:pPr>
        <w:jc w:val="center"/>
        <w:rPr>
          <w:b/>
          <w:bCs/>
          <w:sz w:val="24"/>
          <w:szCs w:val="24"/>
        </w:rPr>
      </w:pPr>
      <w:r w:rsidRPr="009E6157">
        <w:rPr>
          <w:b/>
          <w:bCs/>
          <w:sz w:val="24"/>
          <w:szCs w:val="24"/>
        </w:rPr>
        <w:t>Dr Achraf Belka</w:t>
      </w:r>
    </w:p>
    <w:p w14:paraId="57C39BF6" w14:textId="427D22C9" w:rsidR="009E6157" w:rsidRPr="009E6157" w:rsidRDefault="009E6157" w:rsidP="009E6157">
      <w:pPr>
        <w:jc w:val="center"/>
        <w:rPr>
          <w:b/>
          <w:bCs/>
          <w:sz w:val="24"/>
          <w:szCs w:val="24"/>
        </w:rPr>
      </w:pPr>
      <w:r w:rsidRPr="009E6157">
        <w:rPr>
          <w:b/>
          <w:bCs/>
          <w:sz w:val="24"/>
          <w:szCs w:val="24"/>
        </w:rPr>
        <w:t>Centre psychiatrique universitaire d’agadir</w:t>
      </w:r>
    </w:p>
    <w:p w14:paraId="5FA9E3C1" w14:textId="507CFCF2" w:rsidR="009E6157" w:rsidRPr="009E6157" w:rsidRDefault="009E6157" w:rsidP="009E6157">
      <w:pPr>
        <w:jc w:val="center"/>
        <w:rPr>
          <w:b/>
          <w:bCs/>
          <w:sz w:val="24"/>
          <w:szCs w:val="24"/>
        </w:rPr>
      </w:pPr>
      <w:r w:rsidRPr="009E6157">
        <w:rPr>
          <w:b/>
          <w:bCs/>
          <w:sz w:val="24"/>
          <w:szCs w:val="24"/>
        </w:rPr>
        <w:t>Juillet 2026</w:t>
      </w:r>
    </w:p>
    <w:sectPr w:rsidR="009E6157" w:rsidRPr="009E6157" w:rsidSect="004A2517">
      <w:pgSz w:w="11906" w:h="16838"/>
      <w:pgMar w:top="720" w:right="720" w:bottom="720" w:left="72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BF2B8C"/>
    <w:multiLevelType w:val="multilevel"/>
    <w:tmpl w:val="C74091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577087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E2C"/>
    <w:rsid w:val="000672BF"/>
    <w:rsid w:val="002F0E2C"/>
    <w:rsid w:val="004A2517"/>
    <w:rsid w:val="004F163E"/>
    <w:rsid w:val="005E7CA9"/>
    <w:rsid w:val="00796940"/>
    <w:rsid w:val="009017B5"/>
    <w:rsid w:val="009A2DF2"/>
    <w:rsid w:val="009E6157"/>
    <w:rsid w:val="00B62BB7"/>
    <w:rsid w:val="00CA3A8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BDF04"/>
  <w15:chartTrackingRefBased/>
  <w15:docId w15:val="{DC3D417E-9A69-4556-960C-4B98BA6D6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2F0E2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2F0E2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2F0E2C"/>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2F0E2C"/>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2F0E2C"/>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2F0E2C"/>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2F0E2C"/>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2F0E2C"/>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2F0E2C"/>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F0E2C"/>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2F0E2C"/>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2F0E2C"/>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2F0E2C"/>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2F0E2C"/>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2F0E2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2F0E2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2F0E2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2F0E2C"/>
    <w:rPr>
      <w:rFonts w:eastAsiaTheme="majorEastAsia" w:cstheme="majorBidi"/>
      <w:color w:val="272727" w:themeColor="text1" w:themeTint="D8"/>
    </w:rPr>
  </w:style>
  <w:style w:type="paragraph" w:styleId="Titre">
    <w:name w:val="Title"/>
    <w:basedOn w:val="Normal"/>
    <w:next w:val="Normal"/>
    <w:link w:val="TitreCar"/>
    <w:uiPriority w:val="10"/>
    <w:qFormat/>
    <w:rsid w:val="002F0E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F0E2C"/>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2F0E2C"/>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2F0E2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2F0E2C"/>
    <w:pPr>
      <w:spacing w:before="160"/>
      <w:jc w:val="center"/>
    </w:pPr>
    <w:rPr>
      <w:i/>
      <w:iCs/>
      <w:color w:val="404040" w:themeColor="text1" w:themeTint="BF"/>
    </w:rPr>
  </w:style>
  <w:style w:type="character" w:customStyle="1" w:styleId="CitationCar">
    <w:name w:val="Citation Car"/>
    <w:basedOn w:val="Policepardfaut"/>
    <w:link w:val="Citation"/>
    <w:uiPriority w:val="29"/>
    <w:rsid w:val="002F0E2C"/>
    <w:rPr>
      <w:i/>
      <w:iCs/>
      <w:color w:val="404040" w:themeColor="text1" w:themeTint="BF"/>
    </w:rPr>
  </w:style>
  <w:style w:type="paragraph" w:styleId="Paragraphedeliste">
    <w:name w:val="List Paragraph"/>
    <w:basedOn w:val="Normal"/>
    <w:uiPriority w:val="34"/>
    <w:qFormat/>
    <w:rsid w:val="002F0E2C"/>
    <w:pPr>
      <w:ind w:left="720"/>
      <w:contextualSpacing/>
    </w:pPr>
  </w:style>
  <w:style w:type="character" w:styleId="Accentuationintense">
    <w:name w:val="Intense Emphasis"/>
    <w:basedOn w:val="Policepardfaut"/>
    <w:uiPriority w:val="21"/>
    <w:qFormat/>
    <w:rsid w:val="002F0E2C"/>
    <w:rPr>
      <w:i/>
      <w:iCs/>
      <w:color w:val="2F5496" w:themeColor="accent1" w:themeShade="BF"/>
    </w:rPr>
  </w:style>
  <w:style w:type="paragraph" w:styleId="Citationintense">
    <w:name w:val="Intense Quote"/>
    <w:basedOn w:val="Normal"/>
    <w:next w:val="Normal"/>
    <w:link w:val="CitationintenseCar"/>
    <w:uiPriority w:val="30"/>
    <w:qFormat/>
    <w:rsid w:val="002F0E2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2F0E2C"/>
    <w:rPr>
      <w:i/>
      <w:iCs/>
      <w:color w:val="2F5496" w:themeColor="accent1" w:themeShade="BF"/>
    </w:rPr>
  </w:style>
  <w:style w:type="character" w:styleId="Rfrenceintense">
    <w:name w:val="Intense Reference"/>
    <w:basedOn w:val="Policepardfaut"/>
    <w:uiPriority w:val="32"/>
    <w:qFormat/>
    <w:rsid w:val="002F0E2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1163</Words>
  <Characters>6398</Characters>
  <Application>Microsoft Office Word</Application>
  <DocSecurity>0</DocSecurity>
  <Lines>53</Lines>
  <Paragraphs>15</Paragraphs>
  <ScaleCrop>false</ScaleCrop>
  <Company/>
  <LinksUpToDate>false</LinksUpToDate>
  <CharactersWithSpaces>7546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khadija Akebour</cp:lastModifiedBy>
  <cp:revision>4</cp:revision>
  <dcterms:created xsi:type="dcterms:W3CDTF">2026-07-25T22:04:00Z</dcterms:created>
  <dcterms:modified xsi:type="dcterms:W3CDTF">2026-07-26T21:11:00Z</dcterms:modified>
</cp:coreProperties>
</file>