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983C2" w14:textId="7D52B997" w:rsidR="00686059" w:rsidRDefault="00686059" w:rsidP="0067361F">
      <w:pPr>
        <w:rPr>
          <w:b/>
          <w:bCs/>
          <w:sz w:val="28"/>
          <w:szCs w:val="28"/>
        </w:rPr>
      </w:pPr>
      <w:r w:rsidRPr="00686059">
        <w:rPr>
          <w:noProof/>
        </w:rPr>
        <w:drawing>
          <wp:anchor distT="0" distB="0" distL="114300" distR="114300" simplePos="0" relativeHeight="251658240" behindDoc="0" locked="0" layoutInCell="1" allowOverlap="1" wp14:anchorId="59314E42" wp14:editId="451827FE">
            <wp:simplePos x="0" y="0"/>
            <wp:positionH relativeFrom="margin">
              <wp:align>center</wp:align>
            </wp:positionH>
            <wp:positionV relativeFrom="paragraph">
              <wp:posOffset>297815</wp:posOffset>
            </wp:positionV>
            <wp:extent cx="6153150" cy="2348230"/>
            <wp:effectExtent l="0" t="0" r="0" b="0"/>
            <wp:wrapNone/>
            <wp:docPr id="12597621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62132" name=""/>
                    <pic:cNvPicPr/>
                  </pic:nvPicPr>
                  <pic:blipFill>
                    <a:blip r:embed="rId5">
                      <a:extLst>
                        <a:ext uri="{28A0092B-C50C-407E-A947-70E740481C1C}">
                          <a14:useLocalDpi xmlns:a14="http://schemas.microsoft.com/office/drawing/2010/main" val="0"/>
                        </a:ext>
                      </a:extLst>
                    </a:blip>
                    <a:stretch>
                      <a:fillRect/>
                    </a:stretch>
                  </pic:blipFill>
                  <pic:spPr>
                    <a:xfrm>
                      <a:off x="0" y="0"/>
                      <a:ext cx="6153150" cy="2348230"/>
                    </a:xfrm>
                    <a:prstGeom prst="rect">
                      <a:avLst/>
                    </a:prstGeom>
                  </pic:spPr>
                </pic:pic>
              </a:graphicData>
            </a:graphic>
            <wp14:sizeRelH relativeFrom="margin">
              <wp14:pctWidth>0</wp14:pctWidth>
            </wp14:sizeRelH>
          </wp:anchor>
        </w:drawing>
      </w:r>
      <w:r>
        <w:rPr>
          <w:noProof/>
        </w:rPr>
        <w:br/>
      </w:r>
      <w:r>
        <w:rPr>
          <w:noProof/>
        </w:rPr>
        <w:br/>
      </w:r>
      <w:r>
        <w:rPr>
          <w:noProof/>
        </w:rPr>
        <w:br/>
      </w:r>
    </w:p>
    <w:p w14:paraId="1825251C" w14:textId="77777777" w:rsidR="00963757" w:rsidRDefault="00963757" w:rsidP="00963757">
      <w:pPr>
        <w:rPr>
          <w:b/>
          <w:bCs/>
          <w:sz w:val="28"/>
          <w:szCs w:val="28"/>
        </w:rPr>
      </w:pPr>
    </w:p>
    <w:p w14:paraId="6DE1BA10" w14:textId="77777777" w:rsidR="00963757" w:rsidRDefault="00963757" w:rsidP="00963757">
      <w:pPr>
        <w:rPr>
          <w:b/>
          <w:bCs/>
          <w:sz w:val="28"/>
          <w:szCs w:val="28"/>
        </w:rPr>
      </w:pPr>
    </w:p>
    <w:p w14:paraId="67B32D19" w14:textId="77777777" w:rsidR="00963757" w:rsidRDefault="00963757" w:rsidP="00963757">
      <w:pPr>
        <w:rPr>
          <w:b/>
          <w:bCs/>
          <w:sz w:val="28"/>
          <w:szCs w:val="28"/>
        </w:rPr>
      </w:pPr>
    </w:p>
    <w:p w14:paraId="33491BE0" w14:textId="77777777" w:rsidR="00963757" w:rsidRDefault="00963757" w:rsidP="00963757">
      <w:pPr>
        <w:rPr>
          <w:b/>
          <w:bCs/>
          <w:sz w:val="28"/>
          <w:szCs w:val="28"/>
        </w:rPr>
      </w:pPr>
    </w:p>
    <w:p w14:paraId="3D9FAA64" w14:textId="77777777" w:rsidR="00963757" w:rsidRDefault="00963757" w:rsidP="00963757">
      <w:pPr>
        <w:rPr>
          <w:b/>
          <w:bCs/>
          <w:sz w:val="28"/>
          <w:szCs w:val="28"/>
        </w:rPr>
      </w:pPr>
    </w:p>
    <w:p w14:paraId="2DD2A6CE" w14:textId="77777777" w:rsidR="00963757" w:rsidRDefault="00963757" w:rsidP="00963757">
      <w:pPr>
        <w:rPr>
          <w:b/>
          <w:bCs/>
          <w:sz w:val="28"/>
          <w:szCs w:val="28"/>
        </w:rPr>
      </w:pPr>
    </w:p>
    <w:p w14:paraId="5723391C" w14:textId="77777777" w:rsidR="00686059" w:rsidRDefault="00686059" w:rsidP="00963757">
      <w:pPr>
        <w:rPr>
          <w:b/>
          <w:bCs/>
          <w:sz w:val="28"/>
          <w:szCs w:val="28"/>
        </w:rPr>
      </w:pPr>
    </w:p>
    <w:p w14:paraId="4A2C6472" w14:textId="77777777" w:rsidR="00686059" w:rsidRPr="00686059" w:rsidRDefault="00686059" w:rsidP="00686059">
      <w:pPr>
        <w:jc w:val="both"/>
        <w:rPr>
          <w:b/>
          <w:bCs/>
          <w:sz w:val="36"/>
          <w:szCs w:val="36"/>
        </w:rPr>
      </w:pPr>
      <w:r w:rsidRPr="00686059">
        <w:rPr>
          <w:b/>
          <w:bCs/>
          <w:sz w:val="36"/>
          <w:szCs w:val="36"/>
        </w:rPr>
        <w:t>Style parental et troubles mentaux dans un échantillon national représentatif d’adolescents américains</w:t>
      </w:r>
    </w:p>
    <w:p w14:paraId="07D686FE" w14:textId="7F13C841" w:rsidR="00686059" w:rsidRPr="00686059" w:rsidRDefault="00686059" w:rsidP="00686059">
      <w:pPr>
        <w:jc w:val="both"/>
        <w:rPr>
          <w:sz w:val="28"/>
          <w:szCs w:val="28"/>
        </w:rPr>
      </w:pPr>
      <w:r w:rsidRPr="00686059">
        <w:rPr>
          <w:i/>
          <w:iCs/>
          <w:sz w:val="24"/>
          <w:szCs w:val="24"/>
        </w:rPr>
        <w:t xml:space="preserve">John David Eun, B.A., Diana Paksarian, M.P.H., </w:t>
      </w:r>
      <w:proofErr w:type="spellStart"/>
      <w:r w:rsidRPr="00686059">
        <w:rPr>
          <w:i/>
          <w:iCs/>
          <w:sz w:val="24"/>
          <w:szCs w:val="24"/>
        </w:rPr>
        <w:t>Ph.D</w:t>
      </w:r>
      <w:proofErr w:type="spellEnd"/>
      <w:r w:rsidRPr="00686059">
        <w:rPr>
          <w:i/>
          <w:iCs/>
          <w:sz w:val="24"/>
          <w:szCs w:val="24"/>
        </w:rPr>
        <w:t xml:space="preserve">., Jian-Ping He, </w:t>
      </w:r>
      <w:proofErr w:type="spellStart"/>
      <w:r w:rsidRPr="00686059">
        <w:rPr>
          <w:i/>
          <w:iCs/>
          <w:sz w:val="24"/>
          <w:szCs w:val="24"/>
        </w:rPr>
        <w:t>M.Sc</w:t>
      </w:r>
      <w:proofErr w:type="spellEnd"/>
      <w:r w:rsidRPr="00686059">
        <w:rPr>
          <w:i/>
          <w:iCs/>
          <w:sz w:val="24"/>
          <w:szCs w:val="24"/>
        </w:rPr>
        <w:t xml:space="preserve">., Kathleen Ries Merikangas, </w:t>
      </w:r>
      <w:proofErr w:type="spellStart"/>
      <w:r w:rsidRPr="00686059">
        <w:rPr>
          <w:i/>
          <w:iCs/>
          <w:sz w:val="24"/>
          <w:szCs w:val="24"/>
        </w:rPr>
        <w:t>Ph.D</w:t>
      </w:r>
      <w:proofErr w:type="spellEnd"/>
      <w:r w:rsidRPr="00686059">
        <w:rPr>
          <w:i/>
          <w:iCs/>
          <w:sz w:val="24"/>
          <w:szCs w:val="24"/>
        </w:rPr>
        <w:t>.</w:t>
      </w:r>
      <w:r>
        <w:rPr>
          <w:sz w:val="28"/>
          <w:szCs w:val="28"/>
        </w:rPr>
        <w:br/>
      </w:r>
      <w:r w:rsidRPr="00686059">
        <w:rPr>
          <w:sz w:val="28"/>
          <w:szCs w:val="28"/>
        </w:rPr>
        <w:t>Branche d’épidémiologie génétique, Programme de recherche intramuros, Institut national de la santé mentale (NIMH), Bethesda, Maryland, États-Unis.</w:t>
      </w:r>
    </w:p>
    <w:p w14:paraId="3B890EA0" w14:textId="77777777" w:rsidR="00686059" w:rsidRDefault="00686059" w:rsidP="00686059">
      <w:pPr>
        <w:rPr>
          <w:b/>
          <w:bCs/>
          <w:sz w:val="28"/>
          <w:szCs w:val="28"/>
        </w:rPr>
      </w:pPr>
    </w:p>
    <w:p w14:paraId="0CFDE21C" w14:textId="4AC325AC" w:rsidR="00686059" w:rsidRPr="00686059" w:rsidRDefault="00686059" w:rsidP="00686059">
      <w:pPr>
        <w:jc w:val="both"/>
        <w:rPr>
          <w:b/>
          <w:bCs/>
          <w:color w:val="EE0000"/>
          <w:sz w:val="28"/>
          <w:szCs w:val="28"/>
          <w:u w:val="single"/>
        </w:rPr>
      </w:pPr>
      <w:r w:rsidRPr="00686059">
        <w:rPr>
          <w:b/>
          <w:bCs/>
          <w:color w:val="EE0000"/>
          <w:sz w:val="28"/>
          <w:szCs w:val="28"/>
          <w:u w:val="single"/>
        </w:rPr>
        <w:t>1. Introduction et objectif</w:t>
      </w:r>
    </w:p>
    <w:p w14:paraId="02D8092B" w14:textId="03D6F1E9" w:rsidR="00686059" w:rsidRPr="00686059" w:rsidRDefault="00686059" w:rsidP="00686059">
      <w:pPr>
        <w:jc w:val="both"/>
        <w:rPr>
          <w:sz w:val="24"/>
          <w:szCs w:val="24"/>
        </w:rPr>
      </w:pPr>
      <w:r w:rsidRPr="00686059">
        <w:rPr>
          <w:sz w:val="24"/>
          <w:szCs w:val="24"/>
        </w:rPr>
        <w:t xml:space="preserve">Les interactions familiales constituent un facteur important dans le développement de la psychopathologie chez l’enfant et l’adolescent. Parmi les différents aspects de l’environnement familial, le style parental est particulièrement étudié. Le </w:t>
      </w:r>
      <w:r w:rsidRPr="00686059">
        <w:rPr>
          <w:i/>
          <w:iCs/>
          <w:sz w:val="24"/>
          <w:szCs w:val="24"/>
        </w:rPr>
        <w:t>Parental Bonding Instrument</w:t>
      </w:r>
      <w:r w:rsidRPr="00686059">
        <w:rPr>
          <w:sz w:val="24"/>
          <w:szCs w:val="24"/>
        </w:rPr>
        <w:t xml:space="preserve"> (PBI) distingue principalement deux dimensions : </w:t>
      </w:r>
      <w:r w:rsidR="0067361F" w:rsidRPr="00686059">
        <w:rPr>
          <w:sz w:val="24"/>
          <w:szCs w:val="24"/>
        </w:rPr>
        <w:t>la care</w:t>
      </w:r>
      <w:r w:rsidRPr="00686059">
        <w:rPr>
          <w:sz w:val="24"/>
          <w:szCs w:val="24"/>
        </w:rPr>
        <w:t>, correspondant à l’affection, la chaleur et la disponibilité émotionnelle du parent, et le control, correspondant au contrôle, à la surprotection et à l’autoritarisme limitant l’autonomie de l’adolescent.</w:t>
      </w:r>
    </w:p>
    <w:p w14:paraId="34E4648E" w14:textId="77777777" w:rsidR="00686059" w:rsidRPr="00686059" w:rsidRDefault="00686059" w:rsidP="00686059">
      <w:pPr>
        <w:jc w:val="both"/>
        <w:rPr>
          <w:sz w:val="24"/>
          <w:szCs w:val="24"/>
        </w:rPr>
      </w:pPr>
      <w:r w:rsidRPr="00686059">
        <w:rPr>
          <w:sz w:val="24"/>
          <w:szCs w:val="24"/>
        </w:rPr>
        <w:t xml:space="preserve">Les études antérieures ont généralement retrouvé une association entre faible care parental et contrôle parental </w:t>
      </w:r>
      <w:proofErr w:type="gramStart"/>
      <w:r w:rsidRPr="00686059">
        <w:rPr>
          <w:sz w:val="24"/>
          <w:szCs w:val="24"/>
        </w:rPr>
        <w:t>élevé</w:t>
      </w:r>
      <w:proofErr w:type="gramEnd"/>
      <w:r w:rsidRPr="00686059">
        <w:rPr>
          <w:sz w:val="24"/>
          <w:szCs w:val="24"/>
        </w:rPr>
        <w:t xml:space="preserve"> avec différents troubles psychiatriques, notamment les troubles dépressifs, anxieux, les conduites suicidaires, les troubles liés aux substances et les troubles alimentaires. Cependant, les différences entre les styles parentaux maternel et paternel ainsi que les variations selon le sexe et l’origine ethnique des adolescents avaient été insuffisamment étudiées.</w:t>
      </w:r>
    </w:p>
    <w:p w14:paraId="38F25C54" w14:textId="77777777" w:rsidR="00686059" w:rsidRPr="00686059" w:rsidRDefault="00686059" w:rsidP="00686059">
      <w:pPr>
        <w:jc w:val="both"/>
        <w:rPr>
          <w:sz w:val="24"/>
          <w:szCs w:val="24"/>
        </w:rPr>
      </w:pPr>
      <w:r w:rsidRPr="00686059">
        <w:rPr>
          <w:sz w:val="24"/>
          <w:szCs w:val="24"/>
        </w:rPr>
        <w:t xml:space="preserve">L’objectif de cette étude était donc d’évaluer l’association entre </w:t>
      </w:r>
      <w:proofErr w:type="gramStart"/>
      <w:r w:rsidRPr="00686059">
        <w:rPr>
          <w:sz w:val="24"/>
          <w:szCs w:val="24"/>
        </w:rPr>
        <w:t>le care</w:t>
      </w:r>
      <w:proofErr w:type="gramEnd"/>
      <w:r w:rsidRPr="00686059">
        <w:rPr>
          <w:sz w:val="24"/>
          <w:szCs w:val="24"/>
        </w:rPr>
        <w:t xml:space="preserve"> et le contrôle maternels et paternels et les troubles mentaux présents au cours des 12 derniers mois chez des adolescents américains, tout en tenant compte de nombreux facteurs de confusion et en recherchant d’éventuelles différences selon l’âge, le sexe et l’origine ethnique.</w:t>
      </w:r>
    </w:p>
    <w:p w14:paraId="44CCCA99" w14:textId="77777777" w:rsidR="00686059" w:rsidRPr="00686059" w:rsidRDefault="00686059" w:rsidP="00686059">
      <w:pPr>
        <w:jc w:val="both"/>
        <w:rPr>
          <w:b/>
          <w:bCs/>
          <w:color w:val="EE0000"/>
          <w:sz w:val="28"/>
          <w:szCs w:val="28"/>
          <w:u w:val="single"/>
        </w:rPr>
      </w:pPr>
      <w:r w:rsidRPr="00686059">
        <w:rPr>
          <w:b/>
          <w:bCs/>
          <w:color w:val="EE0000"/>
          <w:sz w:val="28"/>
          <w:szCs w:val="28"/>
          <w:u w:val="single"/>
        </w:rPr>
        <w:t>2. Méthodologie</w:t>
      </w:r>
    </w:p>
    <w:p w14:paraId="7F851F61" w14:textId="77777777" w:rsidR="00686059" w:rsidRPr="00686059" w:rsidRDefault="00686059" w:rsidP="00686059">
      <w:pPr>
        <w:jc w:val="both"/>
        <w:rPr>
          <w:sz w:val="24"/>
          <w:szCs w:val="24"/>
        </w:rPr>
      </w:pPr>
      <w:r w:rsidRPr="00686059">
        <w:rPr>
          <w:sz w:val="24"/>
          <w:szCs w:val="24"/>
        </w:rPr>
        <w:t xml:space="preserve">L’étude utilise les données du National </w:t>
      </w:r>
      <w:proofErr w:type="spellStart"/>
      <w:r w:rsidRPr="00686059">
        <w:rPr>
          <w:sz w:val="24"/>
          <w:szCs w:val="24"/>
        </w:rPr>
        <w:t>Comorbidity</w:t>
      </w:r>
      <w:proofErr w:type="spellEnd"/>
      <w:r w:rsidRPr="00686059">
        <w:rPr>
          <w:sz w:val="24"/>
          <w:szCs w:val="24"/>
        </w:rPr>
        <w:t xml:space="preserve"> Survey </w:t>
      </w:r>
      <w:proofErr w:type="spellStart"/>
      <w:r w:rsidRPr="00686059">
        <w:rPr>
          <w:sz w:val="24"/>
          <w:szCs w:val="24"/>
        </w:rPr>
        <w:t>Replication</w:t>
      </w:r>
      <w:proofErr w:type="spellEnd"/>
      <w:r w:rsidRPr="00686059">
        <w:rPr>
          <w:sz w:val="24"/>
          <w:szCs w:val="24"/>
        </w:rPr>
        <w:t xml:space="preserve">–Adolescent </w:t>
      </w:r>
      <w:proofErr w:type="spellStart"/>
      <w:r w:rsidRPr="00686059">
        <w:rPr>
          <w:sz w:val="24"/>
          <w:szCs w:val="24"/>
        </w:rPr>
        <w:t>Supplement</w:t>
      </w:r>
      <w:proofErr w:type="spellEnd"/>
      <w:r w:rsidRPr="00686059">
        <w:rPr>
          <w:sz w:val="24"/>
          <w:szCs w:val="24"/>
        </w:rPr>
        <w:t xml:space="preserve"> (NCS-A), enquête représentative des adolescents américains âgés de 13 à 18 ans. Parmi les 10 123 adolescents initialement inclus dans l’enquête, 6 483 disposaient des informations parentales nécessaires, et 5 838 avaient des données complètes pour l’analyse.</w:t>
      </w:r>
    </w:p>
    <w:p w14:paraId="3111B73D" w14:textId="77777777" w:rsidR="00686059" w:rsidRPr="00686059" w:rsidRDefault="00686059" w:rsidP="00686059">
      <w:pPr>
        <w:jc w:val="both"/>
        <w:rPr>
          <w:sz w:val="24"/>
          <w:szCs w:val="24"/>
        </w:rPr>
      </w:pPr>
      <w:r w:rsidRPr="00686059">
        <w:rPr>
          <w:sz w:val="24"/>
          <w:szCs w:val="24"/>
        </w:rPr>
        <w:lastRenderedPageBreak/>
        <w:t>Les diagnostics psychiatriques des 12 derniers mois ont été évalués à partir d’une version adaptée du WHO Composite International Diagnostic Interview (CIDI), couvrant les principales catégories de troubles DSM-IV : troubles de l’humeur, troubles anxieux, TDAH, troubles du comportement, troubles liés aux substances et troubles alimentaires.</w:t>
      </w:r>
    </w:p>
    <w:p w14:paraId="0FAF6153" w14:textId="77777777" w:rsidR="00686059" w:rsidRPr="00686059" w:rsidRDefault="00686059" w:rsidP="00686059">
      <w:pPr>
        <w:jc w:val="both"/>
        <w:rPr>
          <w:sz w:val="24"/>
          <w:szCs w:val="24"/>
        </w:rPr>
      </w:pPr>
      <w:r w:rsidRPr="00686059">
        <w:rPr>
          <w:sz w:val="24"/>
          <w:szCs w:val="24"/>
        </w:rPr>
        <w:t xml:space="preserve">Le style parental était évalué à partir de huit items du PBI rapportés par l’adolescent, séparément pour la mère et le père ou pour la personne ayant principalement assuré leur éducation. </w:t>
      </w:r>
      <w:proofErr w:type="gramStart"/>
      <w:r w:rsidRPr="00686059">
        <w:rPr>
          <w:sz w:val="24"/>
          <w:szCs w:val="24"/>
        </w:rPr>
        <w:t>Le care</w:t>
      </w:r>
      <w:proofErr w:type="gramEnd"/>
      <w:r w:rsidRPr="00686059">
        <w:rPr>
          <w:sz w:val="24"/>
          <w:szCs w:val="24"/>
        </w:rPr>
        <w:t xml:space="preserve"> reposait sur quatre items évaluant notamment l’amour, l’affection, la compréhension et la possibilité de se confier. Le control reposait sur trois items évaluant les restrictions, la sévérité des règles et la surprotection. Chaque dimension était ensuite dichotomisée en niveau élevé ou faible.</w:t>
      </w:r>
    </w:p>
    <w:p w14:paraId="56356F8A" w14:textId="77777777" w:rsidR="00686059" w:rsidRPr="00686059" w:rsidRDefault="00686059" w:rsidP="00686059">
      <w:pPr>
        <w:jc w:val="both"/>
        <w:rPr>
          <w:sz w:val="24"/>
          <w:szCs w:val="24"/>
        </w:rPr>
      </w:pPr>
      <w:r w:rsidRPr="00686059">
        <w:rPr>
          <w:sz w:val="24"/>
          <w:szCs w:val="24"/>
        </w:rPr>
        <w:t xml:space="preserve">Les analyses prenaient en compte de nombreux facteurs potentiellement confondants : caractéristiques sociodémographiques, niveau socio-économique, structure familiale, antécédents psychiatriques parentaux, événements stressants, violences sexuelles et conflits </w:t>
      </w:r>
      <w:proofErr w:type="spellStart"/>
      <w:r w:rsidRPr="00686059">
        <w:rPr>
          <w:sz w:val="24"/>
          <w:szCs w:val="24"/>
        </w:rPr>
        <w:t>interparentaux</w:t>
      </w:r>
      <w:proofErr w:type="spellEnd"/>
      <w:r w:rsidRPr="00686059">
        <w:rPr>
          <w:sz w:val="24"/>
          <w:szCs w:val="24"/>
        </w:rPr>
        <w:t>. Des régressions logistiques ont permis d’estimer les associations entre style parental et diagnostics psychiatriques, avec recherche d’interactions selon le sexe et l’origine ethnique.</w:t>
      </w:r>
    </w:p>
    <w:p w14:paraId="5B04D86C" w14:textId="77777777" w:rsidR="00686059" w:rsidRPr="00686059" w:rsidRDefault="00686059" w:rsidP="00686059">
      <w:pPr>
        <w:jc w:val="both"/>
        <w:rPr>
          <w:b/>
          <w:bCs/>
          <w:color w:val="EE0000"/>
          <w:sz w:val="28"/>
          <w:szCs w:val="28"/>
          <w:u w:val="single"/>
        </w:rPr>
      </w:pPr>
      <w:r w:rsidRPr="00686059">
        <w:rPr>
          <w:b/>
          <w:bCs/>
          <w:color w:val="EE0000"/>
          <w:sz w:val="28"/>
          <w:szCs w:val="28"/>
          <w:u w:val="single"/>
        </w:rPr>
        <w:t>3. Principaux résultats</w:t>
      </w:r>
    </w:p>
    <w:p w14:paraId="63EF9886" w14:textId="77777777" w:rsidR="00686059" w:rsidRPr="00686059" w:rsidRDefault="00686059" w:rsidP="00686059">
      <w:pPr>
        <w:jc w:val="both"/>
        <w:rPr>
          <w:b/>
          <w:bCs/>
          <w:color w:val="00B050"/>
          <w:sz w:val="24"/>
          <w:szCs w:val="24"/>
        </w:rPr>
      </w:pPr>
      <w:r w:rsidRPr="00686059">
        <w:rPr>
          <w:b/>
          <w:bCs/>
          <w:color w:val="00B050"/>
          <w:sz w:val="24"/>
          <w:szCs w:val="24"/>
        </w:rPr>
        <w:t>A. Care maternel</w:t>
      </w:r>
    </w:p>
    <w:p w14:paraId="79BB3F18" w14:textId="77777777" w:rsidR="00686059" w:rsidRPr="00686059" w:rsidRDefault="00686059" w:rsidP="00686059">
      <w:pPr>
        <w:jc w:val="both"/>
        <w:rPr>
          <w:sz w:val="24"/>
          <w:szCs w:val="24"/>
        </w:rPr>
      </w:pPr>
      <w:r w:rsidRPr="00686059">
        <w:rPr>
          <w:sz w:val="24"/>
          <w:szCs w:val="24"/>
        </w:rPr>
        <w:t>Un care maternel élevé était associé, après ajustement, à une diminution des probabilités de :</w:t>
      </w:r>
    </w:p>
    <w:p w14:paraId="1F706392" w14:textId="112E62AB" w:rsidR="00686059" w:rsidRPr="00686059" w:rsidRDefault="0067361F" w:rsidP="00686059">
      <w:pPr>
        <w:numPr>
          <w:ilvl w:val="0"/>
          <w:numId w:val="3"/>
        </w:numPr>
        <w:spacing w:line="240" w:lineRule="auto"/>
        <w:jc w:val="both"/>
        <w:rPr>
          <w:sz w:val="24"/>
          <w:szCs w:val="24"/>
        </w:rPr>
      </w:pPr>
      <w:r w:rsidRPr="00686059">
        <w:rPr>
          <w:sz w:val="24"/>
          <w:szCs w:val="24"/>
        </w:rPr>
        <w:t>Trouble</w:t>
      </w:r>
      <w:r w:rsidR="00686059" w:rsidRPr="00686059">
        <w:rPr>
          <w:sz w:val="24"/>
          <w:szCs w:val="24"/>
        </w:rPr>
        <w:t xml:space="preserve"> dépressif majeur ou dysthymie : OR ajusté = 0,58 ;</w:t>
      </w:r>
    </w:p>
    <w:p w14:paraId="35A8A897" w14:textId="020CF96C" w:rsidR="00686059" w:rsidRPr="00686059" w:rsidRDefault="0067361F" w:rsidP="00686059">
      <w:pPr>
        <w:numPr>
          <w:ilvl w:val="0"/>
          <w:numId w:val="3"/>
        </w:numPr>
        <w:spacing w:line="240" w:lineRule="auto"/>
        <w:jc w:val="both"/>
        <w:rPr>
          <w:sz w:val="24"/>
          <w:szCs w:val="24"/>
        </w:rPr>
      </w:pPr>
      <w:r w:rsidRPr="00686059">
        <w:rPr>
          <w:sz w:val="24"/>
          <w:szCs w:val="24"/>
        </w:rPr>
        <w:t>Troubles</w:t>
      </w:r>
      <w:r w:rsidR="00686059" w:rsidRPr="00686059">
        <w:rPr>
          <w:sz w:val="24"/>
          <w:szCs w:val="24"/>
        </w:rPr>
        <w:t xml:space="preserve"> alimentaires : OR ajusté = 0,49 ;</w:t>
      </w:r>
    </w:p>
    <w:p w14:paraId="22586673" w14:textId="34F495C4" w:rsidR="00686059" w:rsidRPr="00686059" w:rsidRDefault="0067361F" w:rsidP="00686059">
      <w:pPr>
        <w:numPr>
          <w:ilvl w:val="0"/>
          <w:numId w:val="3"/>
        </w:numPr>
        <w:spacing w:line="240" w:lineRule="auto"/>
        <w:jc w:val="both"/>
        <w:rPr>
          <w:sz w:val="24"/>
          <w:szCs w:val="24"/>
        </w:rPr>
      </w:pPr>
      <w:r w:rsidRPr="00686059">
        <w:rPr>
          <w:sz w:val="24"/>
          <w:szCs w:val="24"/>
        </w:rPr>
        <w:t>Trouble</w:t>
      </w:r>
      <w:r w:rsidR="00686059" w:rsidRPr="00686059">
        <w:rPr>
          <w:sz w:val="24"/>
          <w:szCs w:val="24"/>
        </w:rPr>
        <w:t xml:space="preserve"> des conduites ou trouble oppositionnel avec provocation : OR ajusté = 0,43.</w:t>
      </w:r>
    </w:p>
    <w:p w14:paraId="345F0918" w14:textId="77777777" w:rsidR="00686059" w:rsidRPr="00686059" w:rsidRDefault="00686059" w:rsidP="00686059">
      <w:pPr>
        <w:jc w:val="both"/>
        <w:rPr>
          <w:sz w:val="24"/>
          <w:szCs w:val="24"/>
        </w:rPr>
      </w:pPr>
      <w:r w:rsidRPr="00686059">
        <w:rPr>
          <w:sz w:val="24"/>
          <w:szCs w:val="24"/>
        </w:rPr>
        <w:t>Certaines associations observées initialement avec les phobies et les troubles liés aux substances ne persistaient pas après ajustement.</w:t>
      </w:r>
    </w:p>
    <w:p w14:paraId="3CECA3DA" w14:textId="77777777" w:rsidR="00686059" w:rsidRPr="00686059" w:rsidRDefault="00686059" w:rsidP="00686059">
      <w:pPr>
        <w:jc w:val="both"/>
        <w:rPr>
          <w:b/>
          <w:bCs/>
          <w:color w:val="00B050"/>
          <w:sz w:val="24"/>
          <w:szCs w:val="24"/>
        </w:rPr>
      </w:pPr>
      <w:r w:rsidRPr="00686059">
        <w:rPr>
          <w:b/>
          <w:bCs/>
          <w:color w:val="00B050"/>
          <w:sz w:val="24"/>
          <w:szCs w:val="24"/>
        </w:rPr>
        <w:t>B. Contrôle maternel</w:t>
      </w:r>
    </w:p>
    <w:p w14:paraId="5D56BCA2" w14:textId="77777777" w:rsidR="00686059" w:rsidRPr="00686059" w:rsidRDefault="00686059" w:rsidP="00686059">
      <w:pPr>
        <w:jc w:val="both"/>
        <w:rPr>
          <w:sz w:val="24"/>
          <w:szCs w:val="24"/>
        </w:rPr>
      </w:pPr>
      <w:r w:rsidRPr="00686059">
        <w:rPr>
          <w:sz w:val="24"/>
          <w:szCs w:val="24"/>
        </w:rPr>
        <w:t>Le contrôle maternel élevé était associé à une augmentation des probabilités de plusieurs troubles. Les associations ajustées concernaient notamment :</w:t>
      </w:r>
    </w:p>
    <w:p w14:paraId="638F75E8" w14:textId="0F3B65CB" w:rsidR="00686059" w:rsidRPr="00686059" w:rsidRDefault="0067361F" w:rsidP="00686059">
      <w:pPr>
        <w:numPr>
          <w:ilvl w:val="0"/>
          <w:numId w:val="4"/>
        </w:numPr>
        <w:spacing w:line="240" w:lineRule="auto"/>
        <w:jc w:val="both"/>
        <w:rPr>
          <w:sz w:val="24"/>
          <w:szCs w:val="24"/>
        </w:rPr>
      </w:pPr>
      <w:r w:rsidRPr="00686059">
        <w:rPr>
          <w:sz w:val="24"/>
          <w:szCs w:val="24"/>
        </w:rPr>
        <w:t>Dépression</w:t>
      </w:r>
      <w:r w:rsidR="00686059" w:rsidRPr="00686059">
        <w:rPr>
          <w:sz w:val="24"/>
          <w:szCs w:val="24"/>
        </w:rPr>
        <w:t>/dysthymie : OR = 2,80 ;</w:t>
      </w:r>
    </w:p>
    <w:p w14:paraId="11AB2412" w14:textId="0933FBE7" w:rsidR="00686059" w:rsidRPr="00686059" w:rsidRDefault="0067361F" w:rsidP="00686059">
      <w:pPr>
        <w:numPr>
          <w:ilvl w:val="0"/>
          <w:numId w:val="4"/>
        </w:numPr>
        <w:spacing w:line="240" w:lineRule="auto"/>
        <w:jc w:val="both"/>
        <w:rPr>
          <w:sz w:val="24"/>
          <w:szCs w:val="24"/>
        </w:rPr>
      </w:pPr>
      <w:r w:rsidRPr="00686059">
        <w:rPr>
          <w:sz w:val="24"/>
          <w:szCs w:val="24"/>
        </w:rPr>
        <w:t>Phobie</w:t>
      </w:r>
      <w:r w:rsidR="00686059" w:rsidRPr="00686059">
        <w:rPr>
          <w:sz w:val="24"/>
          <w:szCs w:val="24"/>
        </w:rPr>
        <w:t xml:space="preserve"> sociale : OR = 1,93 ;</w:t>
      </w:r>
    </w:p>
    <w:p w14:paraId="6D937165" w14:textId="5FC4FC1F" w:rsidR="00686059" w:rsidRPr="00686059" w:rsidRDefault="0067361F" w:rsidP="00686059">
      <w:pPr>
        <w:numPr>
          <w:ilvl w:val="0"/>
          <w:numId w:val="4"/>
        </w:numPr>
        <w:spacing w:line="240" w:lineRule="auto"/>
        <w:jc w:val="both"/>
        <w:rPr>
          <w:sz w:val="24"/>
          <w:szCs w:val="24"/>
        </w:rPr>
      </w:pPr>
      <w:r w:rsidRPr="00686059">
        <w:rPr>
          <w:sz w:val="24"/>
          <w:szCs w:val="24"/>
        </w:rPr>
        <w:t>Trouble</w:t>
      </w:r>
      <w:r w:rsidR="00686059" w:rsidRPr="00686059">
        <w:rPr>
          <w:sz w:val="24"/>
          <w:szCs w:val="24"/>
        </w:rPr>
        <w:t xml:space="preserve"> panique : OR = 2,75 ;</w:t>
      </w:r>
    </w:p>
    <w:p w14:paraId="4C722BFF" w14:textId="2F79D968" w:rsidR="00686059" w:rsidRPr="00686059" w:rsidRDefault="0067361F" w:rsidP="00686059">
      <w:pPr>
        <w:numPr>
          <w:ilvl w:val="0"/>
          <w:numId w:val="4"/>
        </w:numPr>
        <w:spacing w:line="240" w:lineRule="auto"/>
        <w:jc w:val="both"/>
        <w:rPr>
          <w:sz w:val="24"/>
          <w:szCs w:val="24"/>
        </w:rPr>
      </w:pPr>
      <w:r w:rsidRPr="00686059">
        <w:rPr>
          <w:sz w:val="24"/>
          <w:szCs w:val="24"/>
        </w:rPr>
        <w:t>Anxiété</w:t>
      </w:r>
      <w:r w:rsidR="00686059" w:rsidRPr="00686059">
        <w:rPr>
          <w:sz w:val="24"/>
          <w:szCs w:val="24"/>
        </w:rPr>
        <w:t xml:space="preserve"> de séparation : OR = 3,14 ;</w:t>
      </w:r>
    </w:p>
    <w:p w14:paraId="530EBCAA" w14:textId="77777777" w:rsidR="00686059" w:rsidRPr="00686059" w:rsidRDefault="00686059" w:rsidP="00686059">
      <w:pPr>
        <w:numPr>
          <w:ilvl w:val="0"/>
          <w:numId w:val="4"/>
        </w:numPr>
        <w:spacing w:line="240" w:lineRule="auto"/>
        <w:jc w:val="both"/>
        <w:rPr>
          <w:sz w:val="24"/>
          <w:szCs w:val="24"/>
        </w:rPr>
      </w:pPr>
      <w:r w:rsidRPr="00686059">
        <w:rPr>
          <w:sz w:val="24"/>
          <w:szCs w:val="24"/>
        </w:rPr>
        <w:t>PTSD : OR = 2,49 ;</w:t>
      </w:r>
    </w:p>
    <w:p w14:paraId="7768963A" w14:textId="2480796A" w:rsidR="00686059" w:rsidRPr="00686059" w:rsidRDefault="0067361F" w:rsidP="00686059">
      <w:pPr>
        <w:numPr>
          <w:ilvl w:val="0"/>
          <w:numId w:val="4"/>
        </w:numPr>
        <w:spacing w:line="240" w:lineRule="auto"/>
        <w:jc w:val="both"/>
        <w:rPr>
          <w:sz w:val="24"/>
          <w:szCs w:val="24"/>
        </w:rPr>
      </w:pPr>
      <w:r w:rsidRPr="00686059">
        <w:rPr>
          <w:sz w:val="24"/>
          <w:szCs w:val="24"/>
        </w:rPr>
        <w:t>Troubles</w:t>
      </w:r>
      <w:r w:rsidR="00686059" w:rsidRPr="00686059">
        <w:rPr>
          <w:sz w:val="24"/>
          <w:szCs w:val="24"/>
        </w:rPr>
        <w:t xml:space="preserve"> alimentaires : OR = 1,64 ;</w:t>
      </w:r>
    </w:p>
    <w:p w14:paraId="0258326C" w14:textId="0044E4EA" w:rsidR="00686059" w:rsidRPr="00686059" w:rsidRDefault="0067361F" w:rsidP="00686059">
      <w:pPr>
        <w:numPr>
          <w:ilvl w:val="0"/>
          <w:numId w:val="4"/>
        </w:numPr>
        <w:spacing w:line="240" w:lineRule="auto"/>
        <w:jc w:val="both"/>
        <w:rPr>
          <w:sz w:val="24"/>
          <w:szCs w:val="24"/>
        </w:rPr>
      </w:pPr>
      <w:r w:rsidRPr="00686059">
        <w:rPr>
          <w:sz w:val="24"/>
          <w:szCs w:val="24"/>
        </w:rPr>
        <w:t>Troubles</w:t>
      </w:r>
      <w:r w:rsidR="00686059" w:rsidRPr="00686059">
        <w:rPr>
          <w:sz w:val="24"/>
          <w:szCs w:val="24"/>
        </w:rPr>
        <w:t xml:space="preserve"> du comportement : OR = 2,36.</w:t>
      </w:r>
    </w:p>
    <w:p w14:paraId="0C931CC0" w14:textId="77777777" w:rsidR="00686059" w:rsidRPr="00686059" w:rsidRDefault="00686059" w:rsidP="00686059">
      <w:pPr>
        <w:jc w:val="both"/>
        <w:rPr>
          <w:sz w:val="24"/>
          <w:szCs w:val="24"/>
        </w:rPr>
      </w:pPr>
      <w:r w:rsidRPr="00686059">
        <w:rPr>
          <w:sz w:val="24"/>
          <w:szCs w:val="24"/>
        </w:rPr>
        <w:t>Ainsi, le contrôle maternel constituait la dimension parentale présentant le plus grand nombre d'associations positives avec les troubles psychiatriques étudiés.</w:t>
      </w:r>
    </w:p>
    <w:p w14:paraId="02C2981F" w14:textId="77777777" w:rsidR="00686059" w:rsidRPr="00686059" w:rsidRDefault="00686059" w:rsidP="00686059">
      <w:pPr>
        <w:jc w:val="both"/>
        <w:rPr>
          <w:b/>
          <w:bCs/>
          <w:color w:val="00B050"/>
          <w:sz w:val="24"/>
          <w:szCs w:val="24"/>
        </w:rPr>
      </w:pPr>
      <w:r w:rsidRPr="00686059">
        <w:rPr>
          <w:b/>
          <w:bCs/>
          <w:color w:val="00B050"/>
          <w:sz w:val="24"/>
          <w:szCs w:val="24"/>
        </w:rPr>
        <w:t>C. Care paternel</w:t>
      </w:r>
    </w:p>
    <w:p w14:paraId="7E52815D" w14:textId="02FCE541" w:rsidR="00686059" w:rsidRPr="00686059" w:rsidRDefault="0067361F" w:rsidP="00686059">
      <w:pPr>
        <w:jc w:val="both"/>
        <w:rPr>
          <w:sz w:val="24"/>
          <w:szCs w:val="24"/>
        </w:rPr>
      </w:pPr>
      <w:r w:rsidRPr="00686059">
        <w:rPr>
          <w:sz w:val="24"/>
          <w:szCs w:val="24"/>
        </w:rPr>
        <w:t>La care paternelle</w:t>
      </w:r>
      <w:r w:rsidR="00686059" w:rsidRPr="00686059">
        <w:rPr>
          <w:sz w:val="24"/>
          <w:szCs w:val="24"/>
        </w:rPr>
        <w:t xml:space="preserve"> élevé était </w:t>
      </w:r>
      <w:r w:rsidRPr="00686059">
        <w:rPr>
          <w:sz w:val="24"/>
          <w:szCs w:val="24"/>
        </w:rPr>
        <w:t>associée</w:t>
      </w:r>
      <w:r w:rsidR="00686059" w:rsidRPr="00686059">
        <w:rPr>
          <w:sz w:val="24"/>
          <w:szCs w:val="24"/>
        </w:rPr>
        <w:t>, après ajustement, à une diminution des probabilités de :</w:t>
      </w:r>
    </w:p>
    <w:p w14:paraId="3E39D2DD" w14:textId="05C7B402" w:rsidR="00686059" w:rsidRPr="00686059" w:rsidRDefault="0067361F" w:rsidP="00686059">
      <w:pPr>
        <w:numPr>
          <w:ilvl w:val="0"/>
          <w:numId w:val="5"/>
        </w:numPr>
        <w:spacing w:line="240" w:lineRule="auto"/>
        <w:jc w:val="both"/>
        <w:rPr>
          <w:sz w:val="24"/>
          <w:szCs w:val="24"/>
        </w:rPr>
      </w:pPr>
      <w:r w:rsidRPr="00686059">
        <w:rPr>
          <w:sz w:val="24"/>
          <w:szCs w:val="24"/>
        </w:rPr>
        <w:t>Phobie</w:t>
      </w:r>
      <w:r w:rsidR="00686059" w:rsidRPr="00686059">
        <w:rPr>
          <w:sz w:val="24"/>
          <w:szCs w:val="24"/>
        </w:rPr>
        <w:t xml:space="preserve"> sociale : OR = 0,40 ;</w:t>
      </w:r>
    </w:p>
    <w:p w14:paraId="4B5B3888" w14:textId="2D3F9952" w:rsidR="00686059" w:rsidRPr="00686059" w:rsidRDefault="0067361F" w:rsidP="00686059">
      <w:pPr>
        <w:numPr>
          <w:ilvl w:val="0"/>
          <w:numId w:val="5"/>
        </w:numPr>
        <w:spacing w:line="240" w:lineRule="auto"/>
        <w:jc w:val="both"/>
        <w:rPr>
          <w:sz w:val="24"/>
          <w:szCs w:val="24"/>
        </w:rPr>
      </w:pPr>
      <w:r w:rsidRPr="00686059">
        <w:rPr>
          <w:sz w:val="24"/>
          <w:szCs w:val="24"/>
        </w:rPr>
        <w:lastRenderedPageBreak/>
        <w:t>Abus</w:t>
      </w:r>
      <w:r w:rsidR="00686059" w:rsidRPr="00686059">
        <w:rPr>
          <w:sz w:val="24"/>
          <w:szCs w:val="24"/>
        </w:rPr>
        <w:t>/dépendance à l’alcool : OR = 0,51.</w:t>
      </w:r>
    </w:p>
    <w:p w14:paraId="0594A7DB" w14:textId="77777777" w:rsidR="00686059" w:rsidRPr="00686059" w:rsidRDefault="00686059" w:rsidP="00686059">
      <w:pPr>
        <w:jc w:val="both"/>
        <w:rPr>
          <w:sz w:val="24"/>
          <w:szCs w:val="24"/>
        </w:rPr>
      </w:pPr>
      <w:r w:rsidRPr="00686059">
        <w:rPr>
          <w:sz w:val="24"/>
          <w:szCs w:val="24"/>
        </w:rPr>
        <w:t>Plusieurs associations protectrices observées dans les analyses non ajustées disparaissaient après prise en compte des facteurs de confusion.</w:t>
      </w:r>
    </w:p>
    <w:p w14:paraId="32F825FF" w14:textId="77777777" w:rsidR="00686059" w:rsidRPr="00686059" w:rsidRDefault="00686059" w:rsidP="00686059">
      <w:pPr>
        <w:jc w:val="both"/>
        <w:rPr>
          <w:b/>
          <w:bCs/>
          <w:color w:val="00B050"/>
          <w:sz w:val="24"/>
          <w:szCs w:val="24"/>
        </w:rPr>
      </w:pPr>
      <w:r w:rsidRPr="00686059">
        <w:rPr>
          <w:b/>
          <w:bCs/>
          <w:color w:val="00B050"/>
          <w:sz w:val="24"/>
          <w:szCs w:val="24"/>
        </w:rPr>
        <w:t>D. Contrôle paternel</w:t>
      </w:r>
    </w:p>
    <w:p w14:paraId="74D66C45" w14:textId="77777777" w:rsidR="00686059" w:rsidRPr="00686059" w:rsidRDefault="00686059" w:rsidP="00686059">
      <w:pPr>
        <w:jc w:val="both"/>
        <w:rPr>
          <w:sz w:val="24"/>
          <w:szCs w:val="24"/>
        </w:rPr>
      </w:pPr>
      <w:r w:rsidRPr="00686059">
        <w:rPr>
          <w:sz w:val="24"/>
          <w:szCs w:val="24"/>
        </w:rPr>
        <w:t>Le contrôle paternel élevé était associé à :</w:t>
      </w:r>
    </w:p>
    <w:p w14:paraId="61047B97" w14:textId="4C12BB90" w:rsidR="00686059" w:rsidRPr="00686059" w:rsidRDefault="0067361F" w:rsidP="00686059">
      <w:pPr>
        <w:numPr>
          <w:ilvl w:val="0"/>
          <w:numId w:val="6"/>
        </w:numPr>
        <w:jc w:val="both"/>
        <w:rPr>
          <w:sz w:val="24"/>
          <w:szCs w:val="24"/>
        </w:rPr>
      </w:pPr>
      <w:r w:rsidRPr="00686059">
        <w:rPr>
          <w:sz w:val="24"/>
          <w:szCs w:val="24"/>
        </w:rPr>
        <w:t>Une</w:t>
      </w:r>
      <w:r w:rsidR="00686059" w:rsidRPr="00686059">
        <w:rPr>
          <w:sz w:val="24"/>
          <w:szCs w:val="24"/>
        </w:rPr>
        <w:t xml:space="preserve"> augmentation de l’agoraphobie : OR = 3,37 ;</w:t>
      </w:r>
    </w:p>
    <w:p w14:paraId="040638AF" w14:textId="26CEF14A" w:rsidR="00686059" w:rsidRPr="00686059" w:rsidRDefault="0067361F" w:rsidP="00686059">
      <w:pPr>
        <w:numPr>
          <w:ilvl w:val="0"/>
          <w:numId w:val="6"/>
        </w:numPr>
        <w:jc w:val="both"/>
        <w:rPr>
          <w:sz w:val="24"/>
          <w:szCs w:val="24"/>
        </w:rPr>
      </w:pPr>
      <w:r w:rsidRPr="00686059">
        <w:rPr>
          <w:sz w:val="24"/>
          <w:szCs w:val="24"/>
        </w:rPr>
        <w:t>Une</w:t>
      </w:r>
      <w:r w:rsidR="00686059" w:rsidRPr="00686059">
        <w:rPr>
          <w:sz w:val="24"/>
          <w:szCs w:val="24"/>
        </w:rPr>
        <w:t xml:space="preserve"> augmentation de l’abus/dépendance à l’alcool : OR = 2,16 ;</w:t>
      </w:r>
    </w:p>
    <w:p w14:paraId="7DB94978" w14:textId="0E2847CC" w:rsidR="00686059" w:rsidRPr="00686059" w:rsidRDefault="0067361F" w:rsidP="00686059">
      <w:pPr>
        <w:numPr>
          <w:ilvl w:val="0"/>
          <w:numId w:val="6"/>
        </w:numPr>
        <w:jc w:val="both"/>
        <w:rPr>
          <w:sz w:val="24"/>
          <w:szCs w:val="24"/>
        </w:rPr>
      </w:pPr>
      <w:r w:rsidRPr="00686059">
        <w:rPr>
          <w:sz w:val="24"/>
          <w:szCs w:val="24"/>
        </w:rPr>
        <w:t>Une</w:t>
      </w:r>
      <w:r w:rsidR="00686059" w:rsidRPr="00686059">
        <w:rPr>
          <w:sz w:val="24"/>
          <w:szCs w:val="24"/>
        </w:rPr>
        <w:t xml:space="preserve"> diminution des probabilités de TDAH : OR = 0,43.</w:t>
      </w:r>
    </w:p>
    <w:p w14:paraId="48446DC4" w14:textId="3C31F8FD" w:rsidR="00686059" w:rsidRPr="00686059" w:rsidRDefault="00686059" w:rsidP="0067361F">
      <w:pPr>
        <w:rPr>
          <w:sz w:val="24"/>
          <w:szCs w:val="24"/>
        </w:rPr>
      </w:pPr>
      <w:r w:rsidRPr="00686059">
        <w:rPr>
          <w:sz w:val="24"/>
          <w:szCs w:val="24"/>
        </w:rPr>
        <w:t>Les associations avec certaines autres phobies et l’anxiété de séparation n’étaient retrouvées que dans les analyses</w:t>
      </w:r>
      <w:r w:rsidR="0067361F">
        <w:rPr>
          <w:sz w:val="24"/>
          <w:szCs w:val="24"/>
        </w:rPr>
        <w:t xml:space="preserve"> </w:t>
      </w:r>
      <w:r w:rsidRPr="00686059">
        <w:rPr>
          <w:sz w:val="24"/>
          <w:szCs w:val="24"/>
        </w:rPr>
        <w:t>non ajustées.</w:t>
      </w:r>
      <w:r>
        <w:rPr>
          <w:sz w:val="24"/>
          <w:szCs w:val="24"/>
        </w:rPr>
        <w:br/>
      </w:r>
      <w:r>
        <w:rPr>
          <w:sz w:val="24"/>
          <w:szCs w:val="24"/>
        </w:rPr>
        <w:br/>
      </w:r>
    </w:p>
    <w:p w14:paraId="0433C4B5" w14:textId="77777777" w:rsidR="00686059" w:rsidRPr="00686059" w:rsidRDefault="00686059" w:rsidP="00686059">
      <w:pPr>
        <w:jc w:val="both"/>
        <w:rPr>
          <w:b/>
          <w:bCs/>
          <w:color w:val="EE0000"/>
          <w:sz w:val="28"/>
          <w:szCs w:val="28"/>
          <w:u w:val="single"/>
        </w:rPr>
      </w:pPr>
      <w:r w:rsidRPr="00686059">
        <w:rPr>
          <w:b/>
          <w:bCs/>
          <w:color w:val="EE0000"/>
          <w:sz w:val="28"/>
          <w:szCs w:val="28"/>
          <w:u w:val="single"/>
        </w:rPr>
        <w:t>4. Différences selon le sexe et l’origine ethnique</w:t>
      </w:r>
    </w:p>
    <w:p w14:paraId="3F4A29B9" w14:textId="12DA8ECC" w:rsidR="00686059" w:rsidRPr="00686059" w:rsidRDefault="00686059" w:rsidP="00686059">
      <w:pPr>
        <w:jc w:val="both"/>
        <w:rPr>
          <w:sz w:val="24"/>
          <w:szCs w:val="24"/>
        </w:rPr>
      </w:pPr>
      <w:r w:rsidRPr="00686059">
        <w:rPr>
          <w:sz w:val="24"/>
          <w:szCs w:val="24"/>
        </w:rPr>
        <w:t>Les associations entre style parental et psychopathologie n’étaient pas identiques selon le sexe. Le contrôle maternel élevé était associé à davantage de troubles anxieux chez les filles, mais pas chez les garçons. Il était également associé à davantage de troubles liés aux substances chez les filles. À l’inverse, le contrôle paternel élevé était associé à davantage de troubles liés aux substances chez les garçons.</w:t>
      </w:r>
      <w:r>
        <w:rPr>
          <w:sz w:val="24"/>
          <w:szCs w:val="24"/>
        </w:rPr>
        <w:t xml:space="preserve"> </w:t>
      </w:r>
      <w:r w:rsidRPr="00686059">
        <w:rPr>
          <w:sz w:val="24"/>
          <w:szCs w:val="24"/>
        </w:rPr>
        <w:t xml:space="preserve">Une différence selon l’origine ethnique était également observée : </w:t>
      </w:r>
      <w:r w:rsidR="0067361F" w:rsidRPr="00686059">
        <w:rPr>
          <w:sz w:val="24"/>
          <w:szCs w:val="24"/>
        </w:rPr>
        <w:t>la care paternelle</w:t>
      </w:r>
      <w:r w:rsidRPr="00686059">
        <w:rPr>
          <w:sz w:val="24"/>
          <w:szCs w:val="24"/>
        </w:rPr>
        <w:t xml:space="preserve"> élevé était </w:t>
      </w:r>
      <w:r w:rsidR="0067361F" w:rsidRPr="00686059">
        <w:rPr>
          <w:sz w:val="24"/>
          <w:szCs w:val="24"/>
        </w:rPr>
        <w:t>associée</w:t>
      </w:r>
      <w:r w:rsidRPr="00686059">
        <w:rPr>
          <w:sz w:val="24"/>
          <w:szCs w:val="24"/>
        </w:rPr>
        <w:t xml:space="preserve"> à une diminution des troubles anxieux chez les adolescents hispaniques et noirs non hispaniques, mais pas chez les adolescents blancs non hispaniques ni dans les autres groupes.</w:t>
      </w:r>
      <w:r>
        <w:rPr>
          <w:sz w:val="24"/>
          <w:szCs w:val="24"/>
        </w:rPr>
        <w:t xml:space="preserve"> </w:t>
      </w:r>
      <w:r w:rsidRPr="00686059">
        <w:rPr>
          <w:sz w:val="24"/>
          <w:szCs w:val="24"/>
        </w:rPr>
        <w:t>Ces résultats soulignent que les relations entre parentalité et psychopathologie sont complexes et peuvent dépendre du contexte culturel, des rôles familiaux, des expériences d’adversité et de la manière dont les adolescents perçoivent les comportements parentaux.</w:t>
      </w:r>
    </w:p>
    <w:p w14:paraId="1B2F7700" w14:textId="77777777" w:rsidR="00686059" w:rsidRPr="00686059" w:rsidRDefault="00686059" w:rsidP="00686059">
      <w:pPr>
        <w:jc w:val="both"/>
        <w:rPr>
          <w:b/>
          <w:bCs/>
          <w:color w:val="EE0000"/>
          <w:sz w:val="28"/>
          <w:szCs w:val="28"/>
          <w:u w:val="single"/>
        </w:rPr>
      </w:pPr>
      <w:r w:rsidRPr="00686059">
        <w:rPr>
          <w:b/>
          <w:bCs/>
          <w:color w:val="EE0000"/>
          <w:sz w:val="28"/>
          <w:szCs w:val="28"/>
          <w:u w:val="single"/>
        </w:rPr>
        <w:t>5. Discussion</w:t>
      </w:r>
    </w:p>
    <w:p w14:paraId="36165D7B" w14:textId="56F8A377" w:rsidR="00686059" w:rsidRPr="00686059" w:rsidRDefault="00686059" w:rsidP="00686059">
      <w:pPr>
        <w:jc w:val="both"/>
        <w:rPr>
          <w:sz w:val="24"/>
          <w:szCs w:val="24"/>
        </w:rPr>
      </w:pPr>
      <w:r w:rsidRPr="00686059">
        <w:rPr>
          <w:sz w:val="24"/>
          <w:szCs w:val="24"/>
        </w:rPr>
        <w:t>L’étude montre qu’au moins une dimension du style parental était associée à la majorité des grandes catégories de troubles psychiatriques étudiées. Cependant, les associations n’étaient pas uniformes et certaines disparaissaient après ajustement sur les facteurs de confusion. Les styles parentaux maternel et paternel présentaient également des profils différents.</w:t>
      </w:r>
      <w:r>
        <w:rPr>
          <w:sz w:val="24"/>
          <w:szCs w:val="24"/>
        </w:rPr>
        <w:t xml:space="preserve"> </w:t>
      </w:r>
      <w:r w:rsidRPr="00686059">
        <w:rPr>
          <w:sz w:val="24"/>
          <w:szCs w:val="24"/>
        </w:rPr>
        <w:t>Chez la mère, un faible niveau de care et un niveau élevé de contrôle étaient particulièrement associés aux troubles dépressifs, alimentaires et comportementaux. Chez le père, les associations concernaient davantage les troubles liés à l’alcool et certaines phobies. Aucun trouble étudié n’était associé simultanément aux mêmes dimensions du care ou du contrôle maternels et paternels après ajustement.</w:t>
      </w:r>
      <w:r>
        <w:rPr>
          <w:sz w:val="24"/>
          <w:szCs w:val="24"/>
        </w:rPr>
        <w:t xml:space="preserve"> </w:t>
      </w:r>
      <w:r w:rsidRPr="00686059">
        <w:rPr>
          <w:sz w:val="24"/>
          <w:szCs w:val="24"/>
        </w:rPr>
        <w:t>Les auteurs soulignent toutefois qu’il est difficile de définir un niveau optimal de contrôle durant l’adolescence. Cette période est caractérisée par une augmentation progressive de l’autonomie et par des interactions parent-adolescent dynamiques. Un comportement parental perçu comme strict ou surprotecteur peut avoir des conséquences différentes selon le contexte. De plus, les comportements parentaux peuvent eux-mêmes être modifiés en réponse aux symptômes ou aux comportements de l’adolescent.</w:t>
      </w:r>
      <w:r>
        <w:rPr>
          <w:sz w:val="24"/>
          <w:szCs w:val="24"/>
        </w:rPr>
        <w:t xml:space="preserve"> </w:t>
      </w:r>
      <w:r w:rsidRPr="00686059">
        <w:rPr>
          <w:sz w:val="24"/>
          <w:szCs w:val="24"/>
        </w:rPr>
        <w:t>L’association inverse retrouvée entre contrôle paternel et TDAH est également discutée. Les auteurs suggèrent qu’un environnement familial plus structuré et une surveillance parentale accrue pourraient éventuellement avoir un effet protecteur, mais cette interprétation reste à considérer avec prudence.</w:t>
      </w:r>
    </w:p>
    <w:p w14:paraId="130CFF2B" w14:textId="77777777" w:rsidR="00686059" w:rsidRPr="00686059" w:rsidRDefault="00686059" w:rsidP="00686059">
      <w:pPr>
        <w:jc w:val="both"/>
        <w:rPr>
          <w:b/>
          <w:bCs/>
          <w:color w:val="EE0000"/>
          <w:sz w:val="28"/>
          <w:szCs w:val="28"/>
          <w:u w:val="single"/>
        </w:rPr>
      </w:pPr>
      <w:r w:rsidRPr="00686059">
        <w:rPr>
          <w:b/>
          <w:bCs/>
          <w:color w:val="EE0000"/>
          <w:sz w:val="28"/>
          <w:szCs w:val="28"/>
          <w:u w:val="single"/>
        </w:rPr>
        <w:t>6. Limites de l’étude</w:t>
      </w:r>
    </w:p>
    <w:p w14:paraId="7C888189" w14:textId="32DBDF14" w:rsidR="00686059" w:rsidRPr="00686059" w:rsidRDefault="00686059" w:rsidP="00686059">
      <w:pPr>
        <w:jc w:val="both"/>
        <w:rPr>
          <w:sz w:val="24"/>
          <w:szCs w:val="24"/>
        </w:rPr>
      </w:pPr>
      <w:r w:rsidRPr="00686059">
        <w:rPr>
          <w:sz w:val="24"/>
          <w:szCs w:val="24"/>
        </w:rPr>
        <w:lastRenderedPageBreak/>
        <w:t>La principale limite est le caractère transversal des données : il n’est pas possible d’établir une relation temporelle ou causale entre style parental et trouble psychiatrique. L’état psychopathologique de l’adolescent peut également influencer le comportement parental ou sa perception de celui-ci.</w:t>
      </w:r>
      <w:r>
        <w:rPr>
          <w:sz w:val="24"/>
          <w:szCs w:val="24"/>
        </w:rPr>
        <w:t xml:space="preserve"> </w:t>
      </w:r>
      <w:r w:rsidRPr="00686059">
        <w:rPr>
          <w:sz w:val="24"/>
          <w:szCs w:val="24"/>
        </w:rPr>
        <w:t>D’autres limites concernent l’utilisation d’une version abrégée du PBI, la dichotomisation des niveaux de care et de contrôle et l’absence d’une histoire psychiatrique complète des deux parents.</w:t>
      </w:r>
      <w:r>
        <w:rPr>
          <w:sz w:val="24"/>
          <w:szCs w:val="24"/>
        </w:rPr>
        <w:t xml:space="preserve"> </w:t>
      </w:r>
      <w:r w:rsidRPr="00686059">
        <w:rPr>
          <w:sz w:val="24"/>
          <w:szCs w:val="24"/>
        </w:rPr>
        <w:t>Parmi les points forts figurent la taille importante de l’échantillon, son caractère nationalement représentatif, l’utilisation de diagnostics DSM-IV et l’ajustement sur un large éventail de facteurs de confusion.</w:t>
      </w:r>
    </w:p>
    <w:p w14:paraId="1BDE69B2" w14:textId="77777777" w:rsidR="00686059" w:rsidRPr="00686059" w:rsidRDefault="00686059" w:rsidP="00686059">
      <w:pPr>
        <w:jc w:val="both"/>
        <w:rPr>
          <w:b/>
          <w:bCs/>
          <w:color w:val="EE0000"/>
          <w:sz w:val="28"/>
          <w:szCs w:val="28"/>
          <w:u w:val="single"/>
        </w:rPr>
      </w:pPr>
      <w:r w:rsidRPr="00686059">
        <w:rPr>
          <w:b/>
          <w:bCs/>
          <w:color w:val="EE0000"/>
          <w:sz w:val="28"/>
          <w:szCs w:val="28"/>
          <w:u w:val="single"/>
        </w:rPr>
        <w:t>7. Conclusion</w:t>
      </w:r>
    </w:p>
    <w:p w14:paraId="3E898E22" w14:textId="77EC531B" w:rsidR="00686059" w:rsidRPr="00686059" w:rsidRDefault="00686059" w:rsidP="00686059">
      <w:pPr>
        <w:jc w:val="both"/>
        <w:rPr>
          <w:sz w:val="24"/>
          <w:szCs w:val="24"/>
        </w:rPr>
      </w:pPr>
      <w:r w:rsidRPr="00686059">
        <w:rPr>
          <w:sz w:val="24"/>
          <w:szCs w:val="24"/>
        </w:rPr>
        <w:t xml:space="preserve">Cette étude montre une association entre les perceptions </w:t>
      </w:r>
      <w:r w:rsidR="0067361F" w:rsidRPr="00686059">
        <w:rPr>
          <w:sz w:val="24"/>
          <w:szCs w:val="24"/>
        </w:rPr>
        <w:t>de la care</w:t>
      </w:r>
      <w:r w:rsidRPr="00686059">
        <w:rPr>
          <w:sz w:val="24"/>
          <w:szCs w:val="24"/>
        </w:rPr>
        <w:t xml:space="preserve"> et du contrôle parentaux et plusieurs troubles psychiatriques chez les adolescents. Globalement, </w:t>
      </w:r>
      <w:r w:rsidR="0067361F" w:rsidRPr="00686059">
        <w:rPr>
          <w:sz w:val="24"/>
          <w:szCs w:val="24"/>
        </w:rPr>
        <w:t>une faible care parentale</w:t>
      </w:r>
      <w:r w:rsidRPr="00686059">
        <w:rPr>
          <w:sz w:val="24"/>
          <w:szCs w:val="24"/>
        </w:rPr>
        <w:t xml:space="preserve"> et surtout un contrôle maternel élevé sont associés à davantage de troubles mentaux. Cependant, ces associations varient selon le parent concerné, le trouble psychiatrique étudié, le sexe et l’origine ethnique de l’adolescent. Les résultats soulignent donc l’importance de considérer les facteurs familiaux et contextuels dans la prévention et les interventions en santé mentale de l’adolescent.</w:t>
      </w:r>
    </w:p>
    <w:p w14:paraId="6BFD789C" w14:textId="77777777" w:rsidR="00686059" w:rsidRDefault="00686059" w:rsidP="00686059">
      <w:pPr>
        <w:rPr>
          <w:sz w:val="24"/>
          <w:szCs w:val="24"/>
        </w:rPr>
      </w:pPr>
    </w:p>
    <w:p w14:paraId="3E1E783B" w14:textId="3809D357" w:rsidR="00686059" w:rsidRPr="0067361F" w:rsidRDefault="00686059" w:rsidP="00686059">
      <w:pPr>
        <w:jc w:val="center"/>
        <w:rPr>
          <w:b/>
          <w:bCs/>
          <w:sz w:val="24"/>
          <w:szCs w:val="24"/>
        </w:rPr>
      </w:pPr>
      <w:r w:rsidRPr="0067361F">
        <w:rPr>
          <w:b/>
          <w:bCs/>
          <w:sz w:val="24"/>
          <w:szCs w:val="24"/>
        </w:rPr>
        <w:t>5 points clés à retenir</w:t>
      </w:r>
    </w:p>
    <w:p w14:paraId="13D80B2C" w14:textId="77777777" w:rsidR="00686059" w:rsidRPr="0067361F" w:rsidRDefault="00686059" w:rsidP="00686059">
      <w:pPr>
        <w:jc w:val="center"/>
        <w:rPr>
          <w:b/>
          <w:bCs/>
          <w:sz w:val="24"/>
          <w:szCs w:val="24"/>
        </w:rPr>
      </w:pPr>
    </w:p>
    <w:p w14:paraId="31F74D05" w14:textId="77777777" w:rsidR="00686059" w:rsidRPr="0067361F" w:rsidRDefault="00686059" w:rsidP="00686059">
      <w:pPr>
        <w:numPr>
          <w:ilvl w:val="0"/>
          <w:numId w:val="7"/>
        </w:numPr>
        <w:jc w:val="both"/>
        <w:rPr>
          <w:sz w:val="24"/>
          <w:szCs w:val="24"/>
        </w:rPr>
      </w:pPr>
      <w:r w:rsidRPr="0067361F">
        <w:rPr>
          <w:sz w:val="24"/>
          <w:szCs w:val="24"/>
        </w:rPr>
        <w:t>Le style parental est associé à la psychopathologie adolescente, mais ces associations ne sont pas uniformes selon les troubles.</w:t>
      </w:r>
    </w:p>
    <w:p w14:paraId="77528DA2" w14:textId="77777777" w:rsidR="00686059" w:rsidRPr="0067361F" w:rsidRDefault="00686059" w:rsidP="00686059">
      <w:pPr>
        <w:numPr>
          <w:ilvl w:val="0"/>
          <w:numId w:val="7"/>
        </w:numPr>
        <w:jc w:val="both"/>
        <w:rPr>
          <w:sz w:val="24"/>
          <w:szCs w:val="24"/>
        </w:rPr>
      </w:pPr>
      <w:r w:rsidRPr="0067361F">
        <w:rPr>
          <w:sz w:val="24"/>
          <w:szCs w:val="24"/>
        </w:rPr>
        <w:t xml:space="preserve">Un care maternel élevé semble </w:t>
      </w:r>
      <w:proofErr w:type="gramStart"/>
      <w:r w:rsidRPr="0067361F">
        <w:rPr>
          <w:sz w:val="24"/>
          <w:szCs w:val="24"/>
        </w:rPr>
        <w:t>avoir</w:t>
      </w:r>
      <w:proofErr w:type="gramEnd"/>
      <w:r w:rsidRPr="0067361F">
        <w:rPr>
          <w:sz w:val="24"/>
          <w:szCs w:val="24"/>
        </w:rPr>
        <w:t xml:space="preserve"> un rôle protecteur, notamment vis-à-vis de la dépression, des troubles alimentaires et des troubles du comportement.</w:t>
      </w:r>
    </w:p>
    <w:p w14:paraId="3510715E" w14:textId="77777777" w:rsidR="00686059" w:rsidRPr="0067361F" w:rsidRDefault="00686059" w:rsidP="00686059">
      <w:pPr>
        <w:numPr>
          <w:ilvl w:val="0"/>
          <w:numId w:val="7"/>
        </w:numPr>
        <w:jc w:val="both"/>
        <w:rPr>
          <w:sz w:val="24"/>
          <w:szCs w:val="24"/>
        </w:rPr>
      </w:pPr>
      <w:r w:rsidRPr="0067361F">
        <w:rPr>
          <w:sz w:val="24"/>
          <w:szCs w:val="24"/>
        </w:rPr>
        <w:t>Un contrôle maternel élevé est associé à plusieurs troubles psychiatriques, notamment dépressifs, anxieux, traumatiques, alimentaires et comportementaux.</w:t>
      </w:r>
    </w:p>
    <w:p w14:paraId="52DA042E" w14:textId="77777777" w:rsidR="00686059" w:rsidRPr="0067361F" w:rsidRDefault="00686059" w:rsidP="00686059">
      <w:pPr>
        <w:numPr>
          <w:ilvl w:val="0"/>
          <w:numId w:val="7"/>
        </w:numPr>
        <w:jc w:val="both"/>
        <w:rPr>
          <w:sz w:val="24"/>
          <w:szCs w:val="24"/>
        </w:rPr>
      </w:pPr>
      <w:r w:rsidRPr="0067361F">
        <w:rPr>
          <w:sz w:val="24"/>
          <w:szCs w:val="24"/>
        </w:rPr>
        <w:t>Le rôle parental diffère selon le parent et selon l’adolescent : les associations maternelles et paternelles ne sont pas superposables et certaines varient selon le sexe ou l’origine ethnique.</w:t>
      </w:r>
    </w:p>
    <w:p w14:paraId="10DF3B2B" w14:textId="77777777" w:rsidR="00686059" w:rsidRPr="0067361F" w:rsidRDefault="00686059" w:rsidP="00686059">
      <w:pPr>
        <w:numPr>
          <w:ilvl w:val="0"/>
          <w:numId w:val="7"/>
        </w:numPr>
        <w:jc w:val="both"/>
        <w:rPr>
          <w:sz w:val="24"/>
          <w:szCs w:val="24"/>
        </w:rPr>
      </w:pPr>
      <w:r w:rsidRPr="0067361F">
        <w:rPr>
          <w:sz w:val="24"/>
          <w:szCs w:val="24"/>
        </w:rPr>
        <w:t>Attention à ne pas conclure à une causalité : l’étude est transversale et le trouble de l’adolescent peut lui-même modifier les comportements parentaux ou leur perception.</w:t>
      </w:r>
    </w:p>
    <w:p w14:paraId="31B6C2DD" w14:textId="654D1D2F" w:rsidR="0067361F" w:rsidRPr="0067361F" w:rsidRDefault="0067361F" w:rsidP="0067361F">
      <w:pPr>
        <w:jc w:val="center"/>
        <w:rPr>
          <w:b/>
          <w:bCs/>
          <w:sz w:val="24"/>
          <w:szCs w:val="24"/>
        </w:rPr>
      </w:pPr>
      <w:r w:rsidRPr="0067361F">
        <w:rPr>
          <w:b/>
          <w:bCs/>
          <w:sz w:val="24"/>
          <w:szCs w:val="24"/>
        </w:rPr>
        <w:t>Dr. BELKA Mohamed Achraf</w:t>
      </w:r>
    </w:p>
    <w:p w14:paraId="4B5E58B9" w14:textId="77777777" w:rsidR="0067361F" w:rsidRPr="0067361F" w:rsidRDefault="0067361F" w:rsidP="0067361F">
      <w:pPr>
        <w:jc w:val="center"/>
        <w:rPr>
          <w:b/>
          <w:bCs/>
          <w:sz w:val="24"/>
          <w:szCs w:val="24"/>
        </w:rPr>
      </w:pPr>
      <w:r w:rsidRPr="0067361F">
        <w:rPr>
          <w:b/>
          <w:bCs/>
          <w:sz w:val="24"/>
          <w:szCs w:val="24"/>
        </w:rPr>
        <w:t>Centre Psychiatrique Universitaire d'Agadir</w:t>
      </w:r>
    </w:p>
    <w:p w14:paraId="7D7E9323" w14:textId="77777777" w:rsidR="0067361F" w:rsidRPr="0067361F" w:rsidRDefault="0067361F" w:rsidP="0067361F">
      <w:pPr>
        <w:jc w:val="center"/>
        <w:rPr>
          <w:b/>
          <w:bCs/>
          <w:sz w:val="24"/>
          <w:szCs w:val="24"/>
        </w:rPr>
      </w:pPr>
      <w:r w:rsidRPr="0067361F">
        <w:rPr>
          <w:b/>
          <w:bCs/>
          <w:sz w:val="24"/>
          <w:szCs w:val="24"/>
        </w:rPr>
        <w:t>CHU Mohamed VI</w:t>
      </w:r>
    </w:p>
    <w:p w14:paraId="17819F6A" w14:textId="7BDF8F10" w:rsidR="00963757" w:rsidRPr="0067361F" w:rsidRDefault="0067361F" w:rsidP="0067361F">
      <w:pPr>
        <w:jc w:val="center"/>
        <w:rPr>
          <w:b/>
          <w:bCs/>
          <w:sz w:val="24"/>
          <w:szCs w:val="24"/>
        </w:rPr>
      </w:pPr>
      <w:r w:rsidRPr="0067361F">
        <w:rPr>
          <w:b/>
          <w:bCs/>
          <w:sz w:val="24"/>
          <w:szCs w:val="24"/>
        </w:rPr>
        <w:t>Agadir, MAROC</w:t>
      </w:r>
    </w:p>
    <w:sectPr w:rsidR="00963757" w:rsidRPr="0067361F" w:rsidSect="00686059">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74931"/>
    <w:multiLevelType w:val="multilevel"/>
    <w:tmpl w:val="35767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B0539F"/>
    <w:multiLevelType w:val="multilevel"/>
    <w:tmpl w:val="757A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B81126"/>
    <w:multiLevelType w:val="multilevel"/>
    <w:tmpl w:val="2CDA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EB50BA"/>
    <w:multiLevelType w:val="multilevel"/>
    <w:tmpl w:val="85CE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C009E0"/>
    <w:multiLevelType w:val="multilevel"/>
    <w:tmpl w:val="0D62C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4817D2"/>
    <w:multiLevelType w:val="multilevel"/>
    <w:tmpl w:val="23D87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BDF672F"/>
    <w:multiLevelType w:val="multilevel"/>
    <w:tmpl w:val="7370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251780">
    <w:abstractNumId w:val="0"/>
  </w:num>
  <w:num w:numId="2" w16cid:durableId="481048323">
    <w:abstractNumId w:val="5"/>
  </w:num>
  <w:num w:numId="3" w16cid:durableId="1385594306">
    <w:abstractNumId w:val="2"/>
  </w:num>
  <w:num w:numId="4" w16cid:durableId="649552951">
    <w:abstractNumId w:val="1"/>
  </w:num>
  <w:num w:numId="5" w16cid:durableId="610166990">
    <w:abstractNumId w:val="3"/>
  </w:num>
  <w:num w:numId="6" w16cid:durableId="1070662774">
    <w:abstractNumId w:val="6"/>
  </w:num>
  <w:num w:numId="7" w16cid:durableId="3522644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57"/>
    <w:rsid w:val="00072EE8"/>
    <w:rsid w:val="002C2671"/>
    <w:rsid w:val="004F163E"/>
    <w:rsid w:val="005E7CA9"/>
    <w:rsid w:val="0067361F"/>
    <w:rsid w:val="00686059"/>
    <w:rsid w:val="006F311C"/>
    <w:rsid w:val="00796940"/>
    <w:rsid w:val="009017B5"/>
    <w:rsid w:val="00963757"/>
    <w:rsid w:val="009A2DF2"/>
    <w:rsid w:val="00AB47E6"/>
    <w:rsid w:val="00B62B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AA46D"/>
  <w15:chartTrackingRefBased/>
  <w15:docId w15:val="{F0E13724-482C-4218-A743-6FB43BCBF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637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637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6375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6375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6375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6375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6375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6375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6375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6375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6375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6375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6375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6375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6375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6375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6375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63757"/>
    <w:rPr>
      <w:rFonts w:eastAsiaTheme="majorEastAsia" w:cstheme="majorBidi"/>
      <w:color w:val="272727" w:themeColor="text1" w:themeTint="D8"/>
    </w:rPr>
  </w:style>
  <w:style w:type="paragraph" w:styleId="Titre">
    <w:name w:val="Title"/>
    <w:basedOn w:val="Normal"/>
    <w:next w:val="Normal"/>
    <w:link w:val="TitreCar"/>
    <w:uiPriority w:val="10"/>
    <w:qFormat/>
    <w:rsid w:val="009637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6375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6375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6375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63757"/>
    <w:pPr>
      <w:spacing w:before="160"/>
      <w:jc w:val="center"/>
    </w:pPr>
    <w:rPr>
      <w:i/>
      <w:iCs/>
      <w:color w:val="404040" w:themeColor="text1" w:themeTint="BF"/>
    </w:rPr>
  </w:style>
  <w:style w:type="character" w:customStyle="1" w:styleId="CitationCar">
    <w:name w:val="Citation Car"/>
    <w:basedOn w:val="Policepardfaut"/>
    <w:link w:val="Citation"/>
    <w:uiPriority w:val="29"/>
    <w:rsid w:val="00963757"/>
    <w:rPr>
      <w:i/>
      <w:iCs/>
      <w:color w:val="404040" w:themeColor="text1" w:themeTint="BF"/>
    </w:rPr>
  </w:style>
  <w:style w:type="paragraph" w:styleId="Paragraphedeliste">
    <w:name w:val="List Paragraph"/>
    <w:basedOn w:val="Normal"/>
    <w:uiPriority w:val="34"/>
    <w:qFormat/>
    <w:rsid w:val="00963757"/>
    <w:pPr>
      <w:ind w:left="720"/>
      <w:contextualSpacing/>
    </w:pPr>
  </w:style>
  <w:style w:type="character" w:styleId="Accentuationintense">
    <w:name w:val="Intense Emphasis"/>
    <w:basedOn w:val="Policepardfaut"/>
    <w:uiPriority w:val="21"/>
    <w:qFormat/>
    <w:rsid w:val="00963757"/>
    <w:rPr>
      <w:i/>
      <w:iCs/>
      <w:color w:val="2F5496" w:themeColor="accent1" w:themeShade="BF"/>
    </w:rPr>
  </w:style>
  <w:style w:type="paragraph" w:styleId="Citationintense">
    <w:name w:val="Intense Quote"/>
    <w:basedOn w:val="Normal"/>
    <w:next w:val="Normal"/>
    <w:link w:val="CitationintenseCar"/>
    <w:uiPriority w:val="30"/>
    <w:qFormat/>
    <w:rsid w:val="009637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63757"/>
    <w:rPr>
      <w:i/>
      <w:iCs/>
      <w:color w:val="2F5496" w:themeColor="accent1" w:themeShade="BF"/>
    </w:rPr>
  </w:style>
  <w:style w:type="character" w:styleId="Rfrenceintense">
    <w:name w:val="Intense Reference"/>
    <w:basedOn w:val="Policepardfaut"/>
    <w:uiPriority w:val="32"/>
    <w:qFormat/>
    <w:rsid w:val="009637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1539</Words>
  <Characters>8466</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khadija Akebour</cp:lastModifiedBy>
  <cp:revision>4</cp:revision>
  <dcterms:created xsi:type="dcterms:W3CDTF">2026-05-23T20:29:00Z</dcterms:created>
  <dcterms:modified xsi:type="dcterms:W3CDTF">2026-08-29T21:40:00Z</dcterms:modified>
</cp:coreProperties>
</file>