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0CCE1" w14:textId="6EB9353A" w:rsidR="008212E7" w:rsidRPr="008212E7" w:rsidRDefault="008D66FE" w:rsidP="00785643">
      <w:pPr>
        <w:spacing w:after="200"/>
        <w:jc w:val="center"/>
        <w:rPr>
          <w:color w:val="BF4E14" w:themeColor="accent2" w:themeShade="BF"/>
        </w:rPr>
      </w:pPr>
      <w:r>
        <w:rPr>
          <w:b/>
          <w:bCs/>
          <w:noProof/>
          <w:color w:val="BF4E14" w:themeColor="accent2" w:themeShade="BF"/>
          <w:sz w:val="32"/>
          <w:szCs w:val="32"/>
        </w:rPr>
        <w:drawing>
          <wp:inline distT="0" distB="0" distL="0" distR="0" wp14:anchorId="523BEE87" wp14:editId="1561839A">
            <wp:extent cx="5925820" cy="1980565"/>
            <wp:effectExtent l="0" t="0" r="0" b="635"/>
            <wp:docPr id="209579100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91008" name="Image 2095791008"/>
                    <pic:cNvPicPr/>
                  </pic:nvPicPr>
                  <pic:blipFill>
                    <a:blip r:embed="rId5">
                      <a:extLst>
                        <a:ext uri="{28A0092B-C50C-407E-A947-70E740481C1C}">
                          <a14:useLocalDpi xmlns:a14="http://schemas.microsoft.com/office/drawing/2010/main" val="0"/>
                        </a:ext>
                      </a:extLst>
                    </a:blip>
                    <a:stretch>
                      <a:fillRect/>
                    </a:stretch>
                  </pic:blipFill>
                  <pic:spPr>
                    <a:xfrm>
                      <a:off x="0" y="0"/>
                      <a:ext cx="5925820" cy="1980565"/>
                    </a:xfrm>
                    <a:prstGeom prst="rect">
                      <a:avLst/>
                    </a:prstGeom>
                  </pic:spPr>
                </pic:pic>
              </a:graphicData>
            </a:graphic>
          </wp:inline>
        </w:drawing>
      </w:r>
      <w:r w:rsidR="008212E7" w:rsidRPr="008212E7">
        <w:rPr>
          <w:b/>
          <w:bCs/>
          <w:color w:val="BF4E14" w:themeColor="accent2" w:themeShade="BF"/>
          <w:sz w:val="32"/>
          <w:szCs w:val="32"/>
        </w:rPr>
        <w:t>Le Rôle Des Comportements Parentaux Dans Le Trouble De Stress Post-Traumatique De L'enfant : Une Revue Méta-Analytique</w:t>
      </w:r>
    </w:p>
    <w:p w14:paraId="01D0B9CB" w14:textId="77777777" w:rsidR="008212E7" w:rsidRPr="00FE5809" w:rsidRDefault="008212E7" w:rsidP="00785643">
      <w:pPr>
        <w:spacing w:after="40"/>
        <w:jc w:val="center"/>
        <w:rPr>
          <w:lang w:val="en-US"/>
        </w:rPr>
      </w:pPr>
      <w:r w:rsidRPr="00FE5809">
        <w:rPr>
          <w:i/>
          <w:iCs/>
          <w:lang w:val="en-US"/>
        </w:rPr>
        <w:t>Williamson V., Creswell C., Fearon P., Hiller R. M., Walker J., Halligan S. L.</w:t>
      </w:r>
    </w:p>
    <w:p w14:paraId="3F74635C" w14:textId="77777777" w:rsidR="008212E7" w:rsidRDefault="008212E7" w:rsidP="00785643">
      <w:pPr>
        <w:spacing w:after="120"/>
        <w:jc w:val="center"/>
        <w:rPr>
          <w:color w:val="595959"/>
          <w:sz w:val="19"/>
          <w:szCs w:val="19"/>
        </w:rPr>
      </w:pPr>
      <w:proofErr w:type="spellStart"/>
      <w:r>
        <w:rPr>
          <w:color w:val="595959"/>
          <w:sz w:val="19"/>
          <w:szCs w:val="19"/>
        </w:rPr>
        <w:t>Clinical</w:t>
      </w:r>
      <w:proofErr w:type="spellEnd"/>
      <w:r>
        <w:rPr>
          <w:color w:val="595959"/>
          <w:sz w:val="19"/>
          <w:szCs w:val="19"/>
        </w:rPr>
        <w:t xml:space="preserve"> Psychology </w:t>
      </w:r>
      <w:proofErr w:type="spellStart"/>
      <w:r>
        <w:rPr>
          <w:color w:val="595959"/>
          <w:sz w:val="19"/>
          <w:szCs w:val="19"/>
        </w:rPr>
        <w:t>Review</w:t>
      </w:r>
      <w:proofErr w:type="spellEnd"/>
      <w:r>
        <w:rPr>
          <w:color w:val="595959"/>
          <w:sz w:val="19"/>
          <w:szCs w:val="19"/>
        </w:rPr>
        <w:t>, 53 (2017), 1–13</w:t>
      </w:r>
    </w:p>
    <w:p w14:paraId="6F148641" w14:textId="77777777" w:rsidR="008212E7" w:rsidRDefault="008212E7" w:rsidP="008212E7">
      <w:pPr>
        <w:pStyle w:val="1"/>
      </w:pPr>
      <w:r>
        <w:t>1. Introduction</w:t>
      </w:r>
    </w:p>
    <w:p w14:paraId="016F678D" w14:textId="77777777" w:rsidR="008212E7" w:rsidRDefault="008212E7" w:rsidP="008212E7">
      <w:pPr>
        <w:spacing w:after="160" w:line="276" w:lineRule="auto"/>
        <w:jc w:val="both"/>
      </w:pPr>
      <w:r>
        <w:rPr>
          <w:sz w:val="21"/>
          <w:szCs w:val="21"/>
        </w:rPr>
        <w:t>L'exposition à un traumatisme durant l'enfance est associée à un risque accru de trouble de stress post-traumatique (TSPT), avec une prévalence estimée à 16 % chez les jeunes exposés à un événement traumatique. Le soutien social, et en particulier le soutien parental, a été identifié comme un déterminant majeur de l'ajustement psychologique post-traumatique, les enfants désignant le plus souvent un parent comme principale source de soutien après un traumatisme.</w:t>
      </w:r>
    </w:p>
    <w:p w14:paraId="29E42A1F" w14:textId="77777777" w:rsidR="008212E7" w:rsidRDefault="008212E7" w:rsidP="008212E7">
      <w:pPr>
        <w:pStyle w:val="2"/>
      </w:pPr>
      <w:r>
        <w:t>1.1. Le rôle potentiel du soutien social après un traumatisme</w:t>
      </w:r>
    </w:p>
    <w:p w14:paraId="3130ACF3" w14:textId="77777777" w:rsidR="008212E7" w:rsidRDefault="008212E7" w:rsidP="008212E7">
      <w:pPr>
        <w:spacing w:after="160" w:line="276" w:lineRule="auto"/>
        <w:jc w:val="both"/>
      </w:pPr>
      <w:r>
        <w:rPr>
          <w:sz w:val="21"/>
          <w:szCs w:val="21"/>
        </w:rPr>
        <w:t>Les méta-analyses antérieures conduites chez l'adulte et chez l'enfant montrent qu'un faible soutien social perçu, un mauvais fonctionnement familial et un retrait social constituent des facteurs prédictifs significatifs, d'ampleur modérée à forte, du TSPT, bien que le nombre d'études disponibles reste limité.</w:t>
      </w:r>
    </w:p>
    <w:p w14:paraId="3367A269" w14:textId="77777777" w:rsidR="008212E7" w:rsidRDefault="008212E7" w:rsidP="00A74B6B">
      <w:pPr>
        <w:pStyle w:val="2"/>
      </w:pPr>
      <w:r>
        <w:t>1.2. Conceptualisations des comportements parentaux dans le contexte du traumatisme infantile</w:t>
      </w:r>
    </w:p>
    <w:p w14:paraId="29CE53DA" w14:textId="77777777" w:rsidR="008212E7" w:rsidRDefault="008212E7" w:rsidP="008212E7">
      <w:pPr>
        <w:spacing w:after="160" w:line="276" w:lineRule="auto"/>
        <w:jc w:val="both"/>
      </w:pPr>
      <w:r>
        <w:rPr>
          <w:sz w:val="21"/>
          <w:szCs w:val="21"/>
        </w:rPr>
        <w:t>Les modèles cognitifs du TSPT (notamment celui d'Ehlers et Clark) mettent en avant le rôle de l'encodage mnésique du traumatisme, des évaluations cognitives négatives et des stratégies d'évitement. Les interactions parent-enfant influencent directement ces processus, les parents pouvant moduler l'engagement de l'enfant avec le matériel lié au traumatisme et modeler ses stratégies d'ajustement (« coping »).</w:t>
      </w:r>
    </w:p>
    <w:p w14:paraId="6B7388C7" w14:textId="77777777" w:rsidR="008212E7" w:rsidRDefault="008212E7" w:rsidP="00A74B6B">
      <w:pPr>
        <w:pStyle w:val="2"/>
      </w:pPr>
      <w:r>
        <w:t>1.3. Surprotection parentale</w:t>
      </w:r>
    </w:p>
    <w:p w14:paraId="4A5333CA" w14:textId="69DABBC0" w:rsidR="008212E7" w:rsidRDefault="008212E7" w:rsidP="008212E7">
      <w:pPr>
        <w:spacing w:after="160" w:line="276" w:lineRule="auto"/>
        <w:jc w:val="both"/>
      </w:pPr>
      <w:r>
        <w:rPr>
          <w:sz w:val="21"/>
          <w:szCs w:val="21"/>
        </w:rPr>
        <w:t>La surprotection parentale, définie par une implication excessive et une restriction de l'autonomie de l'enfant, est supposée entraver le développement du sentiment d'efficacité personnelle et accroître la vulnérabilité perçue face à la menace. Dans le champ de l'anxiété infantile, la surprotection présente un effet modéré</w:t>
      </w:r>
      <w:r w:rsidR="00A74B6B">
        <w:rPr>
          <w:sz w:val="21"/>
          <w:szCs w:val="21"/>
        </w:rPr>
        <w:t xml:space="preserve">, </w:t>
      </w:r>
      <w:r>
        <w:rPr>
          <w:sz w:val="21"/>
          <w:szCs w:val="21"/>
        </w:rPr>
        <w:t>expliquant environ 6 % de la variance des symptômes anxieux. L'exposition traumatique est associée à une augmentation des comportements de surveillance parentale, potentiellement en réponse à la crainte d'une re-</w:t>
      </w:r>
      <w:proofErr w:type="spellStart"/>
      <w:r>
        <w:rPr>
          <w:sz w:val="21"/>
          <w:szCs w:val="21"/>
        </w:rPr>
        <w:t>traumatisation</w:t>
      </w:r>
      <w:proofErr w:type="spellEnd"/>
      <w:r>
        <w:rPr>
          <w:sz w:val="21"/>
          <w:szCs w:val="21"/>
        </w:rPr>
        <w:t xml:space="preserve"> de l'enfant.</w:t>
      </w:r>
    </w:p>
    <w:p w14:paraId="74F6A76B" w14:textId="77777777" w:rsidR="008212E7" w:rsidRDefault="008212E7" w:rsidP="00A74B6B">
      <w:pPr>
        <w:pStyle w:val="2"/>
      </w:pPr>
      <w:r>
        <w:t>1.4. Soutien parental</w:t>
      </w:r>
    </w:p>
    <w:p w14:paraId="3581A850" w14:textId="77777777" w:rsidR="008212E7" w:rsidRDefault="008212E7" w:rsidP="008212E7">
      <w:pPr>
        <w:spacing w:after="160" w:line="276" w:lineRule="auto"/>
        <w:jc w:val="both"/>
      </w:pPr>
      <w:r>
        <w:rPr>
          <w:sz w:val="21"/>
          <w:szCs w:val="21"/>
        </w:rPr>
        <w:t>Le soutien parental, incluant l'implication positive et les expressions de chaleur affective, est supposé faciliter l'ajustement post-traumatique en offrant un sentiment de sécurité et en favorisant les échanges autour du vécu traumatique. Toutefois, les données empiriques concernant l'association entre chaleur parentale et symptômes de stress post-traumatique (SSPT) de l'enfant demeurent contradictoires, certaines études rapportant même des associations de signe opposé selon le parent considéré (père versus mère).</w:t>
      </w:r>
    </w:p>
    <w:p w14:paraId="4A22C307" w14:textId="77777777" w:rsidR="008212E7" w:rsidRDefault="008212E7" w:rsidP="00A74B6B">
      <w:pPr>
        <w:pStyle w:val="2"/>
      </w:pPr>
      <w:r>
        <w:lastRenderedPageBreak/>
        <w:t>1.5. Comportement parental hostile</w:t>
      </w:r>
    </w:p>
    <w:p w14:paraId="32A0C5B3" w14:textId="77777777" w:rsidR="008212E7" w:rsidRDefault="008212E7" w:rsidP="008212E7">
      <w:pPr>
        <w:spacing w:after="160" w:line="276" w:lineRule="auto"/>
        <w:jc w:val="both"/>
      </w:pPr>
      <w:r>
        <w:rPr>
          <w:sz w:val="21"/>
          <w:szCs w:val="21"/>
        </w:rPr>
        <w:t>La parentalité hostile, incluant la critique et l'agressivité envers l'enfant, pourrait altérer la régulation émotionnelle de l'enfant et renforcer les évaluations cognitives négatives liées au traumatisme. Les résultats de la littérature restent toutefois hétérogènes, certaines études rapportant une association positive avec les SSPT, d'autres une association non significative, voire négative.</w:t>
      </w:r>
    </w:p>
    <w:p w14:paraId="5CCD3BEB" w14:textId="77777777" w:rsidR="008212E7" w:rsidRDefault="008212E7" w:rsidP="00866869">
      <w:pPr>
        <w:pStyle w:val="2"/>
      </w:pPr>
      <w:r>
        <w:t>1.6. Objectif de la revue actuelle</w:t>
      </w:r>
    </w:p>
    <w:p w14:paraId="488082AF" w14:textId="77777777" w:rsidR="008212E7" w:rsidRDefault="008212E7" w:rsidP="008212E7">
      <w:pPr>
        <w:spacing w:after="160" w:line="276" w:lineRule="auto"/>
        <w:jc w:val="both"/>
      </w:pPr>
      <w:r>
        <w:rPr>
          <w:sz w:val="21"/>
          <w:szCs w:val="21"/>
        </w:rPr>
        <w:t>Cette revue méta-analytique vise à synthétiser les données disponibles sur l'association entre comportements parentaux et SSPT de l'enfant, en distinguant une dimension de parentalité positive (chaleur, soutien) et une dimension de parentalité négative (surprotection, hostilité), et en examinant plusieurs modérateurs potentiels : âge et sexe de l'enfant, type de traumatisme, et facteurs méthodologiques.</w:t>
      </w:r>
    </w:p>
    <w:p w14:paraId="0AB5BA07" w14:textId="77777777" w:rsidR="008212E7" w:rsidRDefault="008212E7" w:rsidP="00866869">
      <w:pPr>
        <w:pStyle w:val="1"/>
      </w:pPr>
      <w:r>
        <w:t>2. Méthode</w:t>
      </w:r>
    </w:p>
    <w:p w14:paraId="78AE540A" w14:textId="77777777" w:rsidR="008212E7" w:rsidRDefault="008212E7" w:rsidP="00866869">
      <w:pPr>
        <w:pStyle w:val="2"/>
      </w:pPr>
      <w:r>
        <w:t>2.1. Critères d'éligibilité</w:t>
      </w:r>
    </w:p>
    <w:p w14:paraId="52DAF7FF" w14:textId="77777777" w:rsidR="008212E7" w:rsidRDefault="008212E7" w:rsidP="008212E7">
      <w:pPr>
        <w:spacing w:after="160" w:line="276" w:lineRule="auto"/>
        <w:jc w:val="both"/>
      </w:pPr>
      <w:r>
        <w:rPr>
          <w:sz w:val="21"/>
          <w:szCs w:val="21"/>
        </w:rPr>
        <w:t>Ont été inclues les études comportant une mesure directe de la parentalité en lien avec un enfant spécifique, une mesure standardisée des SSPT (auto-questionnaire), un test statistique de l'association parentalité-SSPT, et un échantillon dont l'âge moyen était inférieur à 19 ans. Étaient exclues les études portant sur des parents auteurs de maltraitance, les échantillons présentant une comorbidité psychiatrique primaire spécifique, les études monographiques (cas uniques), ainsi que les publications non rédigées en anglais.</w:t>
      </w:r>
    </w:p>
    <w:p w14:paraId="3568CEEC" w14:textId="77777777" w:rsidR="008212E7" w:rsidRDefault="008212E7" w:rsidP="00866869">
      <w:pPr>
        <w:pStyle w:val="2"/>
      </w:pPr>
      <w:r>
        <w:t>2.2. Extraction des données</w:t>
      </w:r>
    </w:p>
    <w:p w14:paraId="10D7130C" w14:textId="77777777" w:rsidR="008212E7" w:rsidRDefault="008212E7" w:rsidP="008212E7">
      <w:pPr>
        <w:spacing w:after="160" w:line="276" w:lineRule="auto"/>
        <w:jc w:val="both"/>
      </w:pPr>
      <w:r>
        <w:rPr>
          <w:sz w:val="21"/>
          <w:szCs w:val="21"/>
        </w:rPr>
        <w:t>Les données extraites comprenaient les caractéristiques démographiques, le nombre de participants, l'âge, le sexe, le type de comportement parental étudié, la méthode et l'informateur de mesure (questionnaire ou entretien ; enfant ou parent), le type de traumatisme, la mesure des SSPT, les résultats, les tailles d'effet et les sources potentielles de biais.</w:t>
      </w:r>
    </w:p>
    <w:p w14:paraId="260268A3" w14:textId="77777777" w:rsidR="008212E7" w:rsidRDefault="008212E7" w:rsidP="00866869">
      <w:pPr>
        <w:pStyle w:val="2"/>
      </w:pPr>
      <w:r>
        <w:t>2.3. Échantillon d'étude</w:t>
      </w:r>
    </w:p>
    <w:p w14:paraId="4574EE4F" w14:textId="77777777" w:rsidR="008212E7" w:rsidRDefault="008212E7" w:rsidP="008212E7">
      <w:pPr>
        <w:spacing w:after="160" w:line="276" w:lineRule="auto"/>
        <w:jc w:val="both"/>
      </w:pPr>
      <w:r>
        <w:rPr>
          <w:sz w:val="21"/>
          <w:szCs w:val="21"/>
        </w:rPr>
        <w:t>Quatorze études, publiées entre 1996 et 2014, ont été retenues, totalisant 4010 participants âgés de 9 à 16 ans (moyenne = 12,3 ans ; écart-type = 1,77) et fournissant 23 tailles d'effet. La parentalité était évaluée par questionnaire dans 13 études (rapportée par le parent, l'enfant, ou les deux) et les SSPT par questionnaire dans 11 études et par entretien dans 3 études.</w:t>
      </w:r>
    </w:p>
    <w:p w14:paraId="31E73646" w14:textId="77777777" w:rsidR="008212E7" w:rsidRDefault="008212E7" w:rsidP="00866869">
      <w:pPr>
        <w:pStyle w:val="2"/>
      </w:pPr>
      <w:r>
        <w:t>2.4. Méthode méta-analytique</w:t>
      </w:r>
    </w:p>
    <w:p w14:paraId="0E19F2A6" w14:textId="0A04A63F" w:rsidR="008212E7" w:rsidRDefault="008212E7" w:rsidP="00DE2D7E">
      <w:pPr>
        <w:spacing w:after="160" w:line="276" w:lineRule="auto"/>
        <w:jc w:val="both"/>
      </w:pPr>
      <w:r>
        <w:rPr>
          <w:sz w:val="21"/>
          <w:szCs w:val="21"/>
        </w:rPr>
        <w:t xml:space="preserve">Les analyses ont été conduites avec le logiciel </w:t>
      </w:r>
      <w:proofErr w:type="spellStart"/>
      <w:r>
        <w:rPr>
          <w:sz w:val="21"/>
          <w:szCs w:val="21"/>
        </w:rPr>
        <w:t>RStudio</w:t>
      </w:r>
      <w:proofErr w:type="spellEnd"/>
      <w:r>
        <w:rPr>
          <w:sz w:val="21"/>
          <w:szCs w:val="21"/>
        </w:rPr>
        <w:t xml:space="preserve"> (package </w:t>
      </w:r>
      <w:proofErr w:type="spellStart"/>
      <w:r>
        <w:rPr>
          <w:sz w:val="21"/>
          <w:szCs w:val="21"/>
        </w:rPr>
        <w:t>Metafor</w:t>
      </w:r>
      <w:proofErr w:type="spellEnd"/>
      <w:r>
        <w:rPr>
          <w:sz w:val="21"/>
          <w:szCs w:val="21"/>
        </w:rPr>
        <w:t>), en utilisant le coefficient de corrélation de Pearson (r) comme taille d'effet et un modèle à effets aléatoires (méthode du maximum de vraisemblance restreint, approche de Hedges-</w:t>
      </w:r>
      <w:proofErr w:type="spellStart"/>
      <w:r>
        <w:rPr>
          <w:sz w:val="21"/>
          <w:szCs w:val="21"/>
        </w:rPr>
        <w:t>Olkin</w:t>
      </w:r>
      <w:proofErr w:type="spellEnd"/>
      <w:r>
        <w:rPr>
          <w:sz w:val="21"/>
          <w:szCs w:val="21"/>
        </w:rPr>
        <w:t>). Trois méta-analyses distinctes ont été réalisées : parentalité globale, parentalité négative (surprotection, hostilité) et parentalité positive (soutien).</w:t>
      </w:r>
      <w:r w:rsidRPr="00DE2D7E">
        <w:rPr>
          <w:sz w:val="21"/>
          <w:szCs w:val="21"/>
        </w:rPr>
        <w:t xml:space="preserve"> </w:t>
      </w:r>
      <w:r w:rsidR="00DE2D7E" w:rsidRPr="00DE2D7E">
        <w:rPr>
          <w:sz w:val="21"/>
          <w:szCs w:val="21"/>
        </w:rPr>
        <w:t>Une modélisation hiérarchique à trois niveaux a permis de comparer les effets positifs et négatifs. Des analyses de modérateurs, de sensibilité et du biais de publication ont également été réalisées.</w:t>
      </w:r>
    </w:p>
    <w:p w14:paraId="147E8E45" w14:textId="77777777" w:rsidR="008212E7" w:rsidRDefault="008212E7" w:rsidP="00866869">
      <w:pPr>
        <w:pStyle w:val="1"/>
      </w:pPr>
      <w:r>
        <w:t>3. Résultats</w:t>
      </w:r>
    </w:p>
    <w:p w14:paraId="562496E0" w14:textId="77777777" w:rsidR="008212E7" w:rsidRDefault="008212E7" w:rsidP="00DE2D7E">
      <w:pPr>
        <w:pStyle w:val="2"/>
      </w:pPr>
      <w:r>
        <w:t>3.1. Méta-analyse de la relation globale parentalité-SSPT</w:t>
      </w:r>
    </w:p>
    <w:p w14:paraId="54BCF6DA" w14:textId="77777777" w:rsidR="008212E7" w:rsidRDefault="008212E7" w:rsidP="008212E7">
      <w:pPr>
        <w:spacing w:after="160" w:line="276" w:lineRule="auto"/>
        <w:jc w:val="both"/>
      </w:pPr>
      <w:r>
        <w:rPr>
          <w:sz w:val="21"/>
          <w:szCs w:val="21"/>
        </w:rPr>
        <w:t>L'association globale entre comportements parentaux et SSPT de l'enfant était significative, d'ampleur faible, correspondant à environ 3,8 % de la variance des SSPT. L'analyse d'hétérogénéité était hautement significative, suggérant la présence de variables modératrices.</w:t>
      </w:r>
    </w:p>
    <w:p w14:paraId="7056DD1D" w14:textId="77777777" w:rsidR="008212E7" w:rsidRDefault="008212E7" w:rsidP="00DE2D7E">
      <w:pPr>
        <w:pStyle w:val="2"/>
      </w:pPr>
      <w:r>
        <w:t>3.2. Méta-analyse de la relation parentalité négative-SSPT</w:t>
      </w:r>
    </w:p>
    <w:p w14:paraId="4F6D8C28" w14:textId="77777777" w:rsidR="008212E7" w:rsidRDefault="008212E7" w:rsidP="008212E7">
      <w:pPr>
        <w:spacing w:after="160" w:line="276" w:lineRule="auto"/>
        <w:jc w:val="both"/>
      </w:pPr>
      <w:r>
        <w:rPr>
          <w:sz w:val="21"/>
          <w:szCs w:val="21"/>
        </w:rPr>
        <w:lastRenderedPageBreak/>
        <w:t>La parentalité négative (hostilité, surprotection) était significativement associée aux SSPT, expliquant environ 5,3 % de la variance. Le seul modérateur significatif identifié était le devis d'étude, avec une taille d'effet plus élevée pour les études transversales que pour les études longitudinales.</w:t>
      </w:r>
    </w:p>
    <w:p w14:paraId="38A6C6A7" w14:textId="77777777" w:rsidR="008212E7" w:rsidRDefault="008212E7" w:rsidP="00DE2D7E">
      <w:pPr>
        <w:pStyle w:val="2"/>
      </w:pPr>
      <w:r>
        <w:t>3.3. Méta-analyse de la relation parentalité positive-SSPT</w:t>
      </w:r>
    </w:p>
    <w:p w14:paraId="711FD2A0" w14:textId="77777777" w:rsidR="008212E7" w:rsidRDefault="008212E7" w:rsidP="008212E7">
      <w:pPr>
        <w:spacing w:after="160" w:line="276" w:lineRule="auto"/>
        <w:jc w:val="both"/>
      </w:pPr>
      <w:r>
        <w:rPr>
          <w:sz w:val="21"/>
          <w:szCs w:val="21"/>
        </w:rPr>
        <w:t>La parentalité positive (soutien, chaleur) était également associée de façon significative aux SSPT, expliquant environ 2,0 % de la variance. Le devis d'étude, l'informateur de la parentalité et le caractère collectif ou individuel du traumatisme constituaient des modérateurs significatifs de cette association.</w:t>
      </w:r>
    </w:p>
    <w:p w14:paraId="6CE03BC8" w14:textId="77777777" w:rsidR="008212E7" w:rsidRPr="00DE2D7E" w:rsidRDefault="008212E7" w:rsidP="008212E7">
      <w:pPr>
        <w:spacing w:before="120" w:after="120"/>
        <w:rPr>
          <w:color w:val="BF4E14" w:themeColor="accent2" w:themeShade="BF"/>
        </w:rPr>
      </w:pPr>
      <w:r w:rsidRPr="00DE2D7E">
        <w:rPr>
          <w:i/>
          <w:iCs/>
          <w:color w:val="BF4E14" w:themeColor="accent2" w:themeShade="BF"/>
        </w:rPr>
        <w:t>Synthèse des principaux résultats méta-analytiques :</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800"/>
        <w:gridCol w:w="2200"/>
        <w:gridCol w:w="2000"/>
      </w:tblGrid>
      <w:tr w:rsidR="008212E7" w14:paraId="5AEAACE6" w14:textId="77777777" w:rsidTr="00DE2D7E">
        <w:trPr>
          <w:tblHeader/>
        </w:trPr>
        <w:tc>
          <w:tcPr>
            <w:tcW w:w="2600" w:type="dxa"/>
            <w:shd w:val="clear" w:color="auto" w:fill="BF4E14" w:themeFill="accent2" w:themeFillShade="BF"/>
            <w:tcMar>
              <w:top w:w="80" w:type="dxa"/>
              <w:left w:w="100" w:type="dxa"/>
              <w:bottom w:w="80" w:type="dxa"/>
              <w:right w:w="100" w:type="dxa"/>
            </w:tcMar>
            <w:vAlign w:val="center"/>
          </w:tcPr>
          <w:p w14:paraId="71626B01" w14:textId="77777777" w:rsidR="008212E7" w:rsidRDefault="008212E7" w:rsidP="004834DD">
            <w:pPr>
              <w:jc w:val="center"/>
            </w:pPr>
            <w:r>
              <w:rPr>
                <w:b/>
                <w:bCs/>
                <w:color w:val="FFFFFF"/>
                <w:sz w:val="19"/>
                <w:szCs w:val="19"/>
              </w:rPr>
              <w:t>Dimension de parentalité</w:t>
            </w:r>
          </w:p>
        </w:tc>
        <w:tc>
          <w:tcPr>
            <w:tcW w:w="1800" w:type="dxa"/>
            <w:shd w:val="clear" w:color="auto" w:fill="BF4E14" w:themeFill="accent2" w:themeFillShade="BF"/>
            <w:tcMar>
              <w:top w:w="80" w:type="dxa"/>
              <w:left w:w="100" w:type="dxa"/>
              <w:bottom w:w="80" w:type="dxa"/>
              <w:right w:w="100" w:type="dxa"/>
            </w:tcMar>
            <w:vAlign w:val="center"/>
          </w:tcPr>
          <w:p w14:paraId="67AFEF3C" w14:textId="77777777" w:rsidR="008212E7" w:rsidRDefault="008212E7" w:rsidP="004834DD">
            <w:pPr>
              <w:jc w:val="center"/>
            </w:pPr>
            <w:r>
              <w:rPr>
                <w:b/>
                <w:bCs/>
                <w:color w:val="FFFFFF"/>
                <w:sz w:val="19"/>
                <w:szCs w:val="19"/>
              </w:rPr>
              <w:t>Taille d'effet (r)</w:t>
            </w:r>
          </w:p>
        </w:tc>
        <w:tc>
          <w:tcPr>
            <w:tcW w:w="2200" w:type="dxa"/>
            <w:shd w:val="clear" w:color="auto" w:fill="BF4E14" w:themeFill="accent2" w:themeFillShade="BF"/>
            <w:tcMar>
              <w:top w:w="80" w:type="dxa"/>
              <w:left w:w="100" w:type="dxa"/>
              <w:bottom w:w="80" w:type="dxa"/>
              <w:right w:w="100" w:type="dxa"/>
            </w:tcMar>
            <w:vAlign w:val="center"/>
          </w:tcPr>
          <w:p w14:paraId="6379C3F6" w14:textId="77777777" w:rsidR="008212E7" w:rsidRDefault="008212E7" w:rsidP="004834DD">
            <w:pPr>
              <w:jc w:val="center"/>
            </w:pPr>
            <w:r>
              <w:rPr>
                <w:b/>
                <w:bCs/>
                <w:color w:val="FFFFFF"/>
                <w:sz w:val="19"/>
                <w:szCs w:val="19"/>
              </w:rPr>
              <w:t>IC à 95 %</w:t>
            </w:r>
          </w:p>
        </w:tc>
        <w:tc>
          <w:tcPr>
            <w:tcW w:w="2000" w:type="dxa"/>
            <w:shd w:val="clear" w:color="auto" w:fill="BF4E14" w:themeFill="accent2" w:themeFillShade="BF"/>
            <w:tcMar>
              <w:top w:w="80" w:type="dxa"/>
              <w:left w:w="100" w:type="dxa"/>
              <w:bottom w:w="80" w:type="dxa"/>
              <w:right w:w="100" w:type="dxa"/>
            </w:tcMar>
            <w:vAlign w:val="center"/>
          </w:tcPr>
          <w:p w14:paraId="515F952C" w14:textId="77777777" w:rsidR="008212E7" w:rsidRDefault="008212E7" w:rsidP="004834DD">
            <w:pPr>
              <w:jc w:val="center"/>
            </w:pPr>
            <w:r>
              <w:rPr>
                <w:b/>
                <w:bCs/>
                <w:color w:val="FFFFFF"/>
                <w:sz w:val="19"/>
                <w:szCs w:val="19"/>
              </w:rPr>
              <w:t>Variance expliquée</w:t>
            </w:r>
          </w:p>
        </w:tc>
      </w:tr>
      <w:tr w:rsidR="008212E7" w14:paraId="040F138D" w14:textId="77777777" w:rsidTr="004834DD">
        <w:tc>
          <w:tcPr>
            <w:tcW w:w="2600" w:type="dxa"/>
            <w:tcMar>
              <w:top w:w="80" w:type="dxa"/>
              <w:left w:w="100" w:type="dxa"/>
              <w:bottom w:w="80" w:type="dxa"/>
              <w:right w:w="100" w:type="dxa"/>
            </w:tcMar>
            <w:vAlign w:val="center"/>
          </w:tcPr>
          <w:p w14:paraId="77F7CD51" w14:textId="77777777" w:rsidR="008212E7" w:rsidRDefault="008212E7" w:rsidP="004834DD">
            <w:pPr>
              <w:jc w:val="center"/>
            </w:pPr>
            <w:r>
              <w:rPr>
                <w:color w:val="000000"/>
                <w:sz w:val="19"/>
                <w:szCs w:val="19"/>
              </w:rPr>
              <w:t>Parentalité globale (positive + négative)</w:t>
            </w:r>
          </w:p>
        </w:tc>
        <w:tc>
          <w:tcPr>
            <w:tcW w:w="1800" w:type="dxa"/>
            <w:tcMar>
              <w:top w:w="80" w:type="dxa"/>
              <w:left w:w="100" w:type="dxa"/>
              <w:bottom w:w="80" w:type="dxa"/>
              <w:right w:w="100" w:type="dxa"/>
            </w:tcMar>
            <w:vAlign w:val="center"/>
          </w:tcPr>
          <w:p w14:paraId="788C8D7D" w14:textId="77777777" w:rsidR="008212E7" w:rsidRDefault="008212E7" w:rsidP="004834DD">
            <w:pPr>
              <w:jc w:val="center"/>
            </w:pPr>
            <w:r>
              <w:rPr>
                <w:color w:val="000000"/>
                <w:sz w:val="19"/>
                <w:szCs w:val="19"/>
              </w:rPr>
              <w:t>0,20 (p &lt; 0,0001)</w:t>
            </w:r>
          </w:p>
        </w:tc>
        <w:tc>
          <w:tcPr>
            <w:tcW w:w="2200" w:type="dxa"/>
            <w:tcMar>
              <w:top w:w="80" w:type="dxa"/>
              <w:left w:w="100" w:type="dxa"/>
              <w:bottom w:w="80" w:type="dxa"/>
              <w:right w:w="100" w:type="dxa"/>
            </w:tcMar>
            <w:vAlign w:val="center"/>
          </w:tcPr>
          <w:p w14:paraId="431CF85C" w14:textId="77777777" w:rsidR="008212E7" w:rsidRDefault="008212E7" w:rsidP="004834DD">
            <w:pPr>
              <w:jc w:val="center"/>
            </w:pPr>
            <w:r>
              <w:rPr>
                <w:color w:val="000000"/>
                <w:sz w:val="19"/>
                <w:szCs w:val="19"/>
              </w:rPr>
              <w:t>[0,13 ; 0,26]</w:t>
            </w:r>
          </w:p>
        </w:tc>
        <w:tc>
          <w:tcPr>
            <w:tcW w:w="2000" w:type="dxa"/>
            <w:tcMar>
              <w:top w:w="80" w:type="dxa"/>
              <w:left w:w="100" w:type="dxa"/>
              <w:bottom w:w="80" w:type="dxa"/>
              <w:right w:w="100" w:type="dxa"/>
            </w:tcMar>
            <w:vAlign w:val="center"/>
          </w:tcPr>
          <w:p w14:paraId="4970B651" w14:textId="77777777" w:rsidR="008212E7" w:rsidRDefault="008212E7" w:rsidP="004834DD">
            <w:pPr>
              <w:jc w:val="center"/>
            </w:pPr>
            <w:r>
              <w:rPr>
                <w:color w:val="000000"/>
                <w:sz w:val="19"/>
                <w:szCs w:val="19"/>
              </w:rPr>
              <w:t>≈ 3,8 %</w:t>
            </w:r>
          </w:p>
        </w:tc>
      </w:tr>
      <w:tr w:rsidR="008212E7" w14:paraId="62741777" w14:textId="77777777" w:rsidTr="004834DD">
        <w:tc>
          <w:tcPr>
            <w:tcW w:w="2600" w:type="dxa"/>
            <w:shd w:val="clear" w:color="auto" w:fill="F2F2F2"/>
            <w:tcMar>
              <w:top w:w="80" w:type="dxa"/>
              <w:left w:w="100" w:type="dxa"/>
              <w:bottom w:w="80" w:type="dxa"/>
              <w:right w:w="100" w:type="dxa"/>
            </w:tcMar>
            <w:vAlign w:val="center"/>
          </w:tcPr>
          <w:p w14:paraId="516DBEB2" w14:textId="77777777" w:rsidR="008212E7" w:rsidRDefault="008212E7" w:rsidP="004834DD">
            <w:pPr>
              <w:jc w:val="center"/>
            </w:pPr>
            <w:r>
              <w:rPr>
                <w:color w:val="000000"/>
                <w:sz w:val="19"/>
                <w:szCs w:val="19"/>
              </w:rPr>
              <w:t>Parentalité négative (surprotection, hostilité)</w:t>
            </w:r>
          </w:p>
        </w:tc>
        <w:tc>
          <w:tcPr>
            <w:tcW w:w="1800" w:type="dxa"/>
            <w:shd w:val="clear" w:color="auto" w:fill="F2F2F2"/>
            <w:tcMar>
              <w:top w:w="80" w:type="dxa"/>
              <w:left w:w="100" w:type="dxa"/>
              <w:bottom w:w="80" w:type="dxa"/>
              <w:right w:w="100" w:type="dxa"/>
            </w:tcMar>
            <w:vAlign w:val="center"/>
          </w:tcPr>
          <w:p w14:paraId="7A398E86" w14:textId="77777777" w:rsidR="008212E7" w:rsidRDefault="008212E7" w:rsidP="004834DD">
            <w:pPr>
              <w:jc w:val="center"/>
            </w:pPr>
            <w:r>
              <w:rPr>
                <w:color w:val="000000"/>
                <w:sz w:val="19"/>
                <w:szCs w:val="19"/>
              </w:rPr>
              <w:t>0,23 (p &lt; 0,0001)</w:t>
            </w:r>
          </w:p>
        </w:tc>
        <w:tc>
          <w:tcPr>
            <w:tcW w:w="2200" w:type="dxa"/>
            <w:shd w:val="clear" w:color="auto" w:fill="F2F2F2"/>
            <w:tcMar>
              <w:top w:w="80" w:type="dxa"/>
              <w:left w:w="100" w:type="dxa"/>
              <w:bottom w:w="80" w:type="dxa"/>
              <w:right w:w="100" w:type="dxa"/>
            </w:tcMar>
            <w:vAlign w:val="center"/>
          </w:tcPr>
          <w:p w14:paraId="0D1D9F0C" w14:textId="77777777" w:rsidR="008212E7" w:rsidRDefault="008212E7" w:rsidP="004834DD">
            <w:pPr>
              <w:jc w:val="center"/>
            </w:pPr>
            <w:r>
              <w:rPr>
                <w:color w:val="000000"/>
                <w:sz w:val="19"/>
                <w:szCs w:val="19"/>
              </w:rPr>
              <w:t>[0,15 ; 0,31]</w:t>
            </w:r>
          </w:p>
        </w:tc>
        <w:tc>
          <w:tcPr>
            <w:tcW w:w="2000" w:type="dxa"/>
            <w:shd w:val="clear" w:color="auto" w:fill="F2F2F2"/>
            <w:tcMar>
              <w:top w:w="80" w:type="dxa"/>
              <w:left w:w="100" w:type="dxa"/>
              <w:bottom w:w="80" w:type="dxa"/>
              <w:right w:w="100" w:type="dxa"/>
            </w:tcMar>
            <w:vAlign w:val="center"/>
          </w:tcPr>
          <w:p w14:paraId="446B4648" w14:textId="77777777" w:rsidR="008212E7" w:rsidRDefault="008212E7" w:rsidP="004834DD">
            <w:pPr>
              <w:jc w:val="center"/>
            </w:pPr>
            <w:r>
              <w:rPr>
                <w:color w:val="000000"/>
                <w:sz w:val="19"/>
                <w:szCs w:val="19"/>
              </w:rPr>
              <w:t>≈ 5,3 %</w:t>
            </w:r>
          </w:p>
        </w:tc>
      </w:tr>
      <w:tr w:rsidR="008212E7" w14:paraId="5F82F63F" w14:textId="77777777" w:rsidTr="004834DD">
        <w:tc>
          <w:tcPr>
            <w:tcW w:w="2600" w:type="dxa"/>
            <w:tcMar>
              <w:top w:w="80" w:type="dxa"/>
              <w:left w:w="100" w:type="dxa"/>
              <w:bottom w:w="80" w:type="dxa"/>
              <w:right w:w="100" w:type="dxa"/>
            </w:tcMar>
            <w:vAlign w:val="center"/>
          </w:tcPr>
          <w:p w14:paraId="1AB50BDF" w14:textId="77777777" w:rsidR="008212E7" w:rsidRDefault="008212E7" w:rsidP="004834DD">
            <w:pPr>
              <w:jc w:val="center"/>
            </w:pPr>
            <w:r>
              <w:rPr>
                <w:color w:val="000000"/>
                <w:sz w:val="19"/>
                <w:szCs w:val="19"/>
              </w:rPr>
              <w:t>Parentalité positive (soutien, chaleur)</w:t>
            </w:r>
          </w:p>
        </w:tc>
        <w:tc>
          <w:tcPr>
            <w:tcW w:w="1800" w:type="dxa"/>
            <w:tcMar>
              <w:top w:w="80" w:type="dxa"/>
              <w:left w:w="100" w:type="dxa"/>
              <w:bottom w:w="80" w:type="dxa"/>
              <w:right w:w="100" w:type="dxa"/>
            </w:tcMar>
            <w:vAlign w:val="center"/>
          </w:tcPr>
          <w:p w14:paraId="2E95231C" w14:textId="77777777" w:rsidR="008212E7" w:rsidRDefault="008212E7" w:rsidP="004834DD">
            <w:pPr>
              <w:jc w:val="center"/>
            </w:pPr>
            <w:r>
              <w:rPr>
                <w:color w:val="000000"/>
                <w:sz w:val="19"/>
                <w:szCs w:val="19"/>
              </w:rPr>
              <w:t>0,14 (p &lt; 0,05)</w:t>
            </w:r>
          </w:p>
        </w:tc>
        <w:tc>
          <w:tcPr>
            <w:tcW w:w="2200" w:type="dxa"/>
            <w:tcMar>
              <w:top w:w="80" w:type="dxa"/>
              <w:left w:w="100" w:type="dxa"/>
              <w:bottom w:w="80" w:type="dxa"/>
              <w:right w:w="100" w:type="dxa"/>
            </w:tcMar>
            <w:vAlign w:val="center"/>
          </w:tcPr>
          <w:p w14:paraId="2A70AC62" w14:textId="77777777" w:rsidR="008212E7" w:rsidRDefault="008212E7" w:rsidP="004834DD">
            <w:pPr>
              <w:jc w:val="center"/>
            </w:pPr>
            <w:r>
              <w:rPr>
                <w:color w:val="000000"/>
                <w:sz w:val="19"/>
                <w:szCs w:val="19"/>
              </w:rPr>
              <w:t>[0,02 ; 0,26]</w:t>
            </w:r>
          </w:p>
        </w:tc>
        <w:tc>
          <w:tcPr>
            <w:tcW w:w="2000" w:type="dxa"/>
            <w:tcMar>
              <w:top w:w="80" w:type="dxa"/>
              <w:left w:w="100" w:type="dxa"/>
              <w:bottom w:w="80" w:type="dxa"/>
              <w:right w:w="100" w:type="dxa"/>
            </w:tcMar>
            <w:vAlign w:val="center"/>
          </w:tcPr>
          <w:p w14:paraId="3F9202D2" w14:textId="77777777" w:rsidR="008212E7" w:rsidRDefault="008212E7" w:rsidP="004834DD">
            <w:pPr>
              <w:jc w:val="center"/>
            </w:pPr>
            <w:r>
              <w:rPr>
                <w:color w:val="000000"/>
                <w:sz w:val="19"/>
                <w:szCs w:val="19"/>
              </w:rPr>
              <w:t>≈ 2,0 %</w:t>
            </w:r>
          </w:p>
        </w:tc>
      </w:tr>
    </w:tbl>
    <w:p w14:paraId="3E2DC56C" w14:textId="77777777" w:rsidR="008212E7" w:rsidRDefault="008212E7" w:rsidP="008212E7">
      <w:pPr>
        <w:spacing w:after="160" w:line="276" w:lineRule="auto"/>
        <w:jc w:val="both"/>
      </w:pPr>
      <w:r>
        <w:rPr>
          <w:sz w:val="21"/>
          <w:szCs w:val="21"/>
        </w:rPr>
        <w:t>La comparaison formelle des tailles d'effet entre parentalité négative et positive n'a pas montré de différence statistiquement significative (différence = 0,073 ; IC 95 % [-0,06 ; 0,21] ; p = 0,28).</w:t>
      </w:r>
    </w:p>
    <w:p w14:paraId="7CFBA7B5" w14:textId="77777777" w:rsidR="008212E7" w:rsidRDefault="008212E7" w:rsidP="008212E7">
      <w:pPr>
        <w:spacing w:before="200" w:after="120"/>
      </w:pPr>
      <w:r w:rsidRPr="00DE2D7E">
        <w:rPr>
          <w:i/>
          <w:iCs/>
          <w:color w:val="BF4E14" w:themeColor="accent2" w:themeShade="BF"/>
        </w:rPr>
        <w:t>Principaux modérateurs identifiés :</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2600"/>
        <w:gridCol w:w="2600"/>
      </w:tblGrid>
      <w:tr w:rsidR="008212E7" w14:paraId="2EF3DA85" w14:textId="77777777" w:rsidTr="00DE2D7E">
        <w:trPr>
          <w:tblHeader/>
        </w:trPr>
        <w:tc>
          <w:tcPr>
            <w:tcW w:w="3400" w:type="dxa"/>
            <w:shd w:val="clear" w:color="auto" w:fill="BF4E14" w:themeFill="accent2" w:themeFillShade="BF"/>
            <w:tcMar>
              <w:top w:w="80" w:type="dxa"/>
              <w:left w:w="100" w:type="dxa"/>
              <w:bottom w:w="80" w:type="dxa"/>
              <w:right w:w="100" w:type="dxa"/>
            </w:tcMar>
            <w:vAlign w:val="center"/>
          </w:tcPr>
          <w:p w14:paraId="5D5DC509" w14:textId="77777777" w:rsidR="008212E7" w:rsidRDefault="008212E7" w:rsidP="004834DD">
            <w:pPr>
              <w:jc w:val="center"/>
            </w:pPr>
            <w:r>
              <w:rPr>
                <w:b/>
                <w:bCs/>
                <w:color w:val="FFFFFF"/>
                <w:sz w:val="19"/>
                <w:szCs w:val="19"/>
              </w:rPr>
              <w:t>Modérateur significatif</w:t>
            </w:r>
          </w:p>
        </w:tc>
        <w:tc>
          <w:tcPr>
            <w:tcW w:w="2600" w:type="dxa"/>
            <w:shd w:val="clear" w:color="auto" w:fill="BF4E14" w:themeFill="accent2" w:themeFillShade="BF"/>
            <w:tcMar>
              <w:top w:w="80" w:type="dxa"/>
              <w:left w:w="100" w:type="dxa"/>
              <w:bottom w:w="80" w:type="dxa"/>
              <w:right w:w="100" w:type="dxa"/>
            </w:tcMar>
            <w:vAlign w:val="center"/>
          </w:tcPr>
          <w:p w14:paraId="715CD4E4" w14:textId="77777777" w:rsidR="008212E7" w:rsidRDefault="008212E7" w:rsidP="004834DD">
            <w:pPr>
              <w:jc w:val="center"/>
            </w:pPr>
            <w:r>
              <w:rPr>
                <w:b/>
                <w:bCs/>
                <w:color w:val="FFFFFF"/>
                <w:sz w:val="19"/>
                <w:szCs w:val="19"/>
              </w:rPr>
              <w:t>Analyse concernée</w:t>
            </w:r>
          </w:p>
        </w:tc>
        <w:tc>
          <w:tcPr>
            <w:tcW w:w="2600" w:type="dxa"/>
            <w:shd w:val="clear" w:color="auto" w:fill="BF4E14" w:themeFill="accent2" w:themeFillShade="BF"/>
            <w:tcMar>
              <w:top w:w="80" w:type="dxa"/>
              <w:left w:w="100" w:type="dxa"/>
              <w:bottom w:w="80" w:type="dxa"/>
              <w:right w:w="100" w:type="dxa"/>
            </w:tcMar>
            <w:vAlign w:val="center"/>
          </w:tcPr>
          <w:p w14:paraId="11601AE1" w14:textId="77777777" w:rsidR="008212E7" w:rsidRDefault="008212E7" w:rsidP="004834DD">
            <w:pPr>
              <w:jc w:val="center"/>
            </w:pPr>
            <w:r>
              <w:rPr>
                <w:b/>
                <w:bCs/>
                <w:color w:val="FFFFFF"/>
                <w:sz w:val="19"/>
                <w:szCs w:val="19"/>
              </w:rPr>
              <w:t>Sens de l'effet</w:t>
            </w:r>
          </w:p>
        </w:tc>
      </w:tr>
      <w:tr w:rsidR="008212E7" w14:paraId="0F2EC052" w14:textId="77777777" w:rsidTr="004834DD">
        <w:tc>
          <w:tcPr>
            <w:tcW w:w="3400" w:type="dxa"/>
            <w:tcMar>
              <w:top w:w="80" w:type="dxa"/>
              <w:left w:w="100" w:type="dxa"/>
              <w:bottom w:w="80" w:type="dxa"/>
              <w:right w:w="100" w:type="dxa"/>
            </w:tcMar>
            <w:vAlign w:val="center"/>
          </w:tcPr>
          <w:p w14:paraId="5C12DD4F" w14:textId="77777777" w:rsidR="008212E7" w:rsidRDefault="008212E7" w:rsidP="004834DD">
            <w:pPr>
              <w:jc w:val="center"/>
            </w:pPr>
            <w:r>
              <w:rPr>
                <w:color w:val="000000"/>
                <w:sz w:val="19"/>
                <w:szCs w:val="19"/>
              </w:rPr>
              <w:t>Devis d'étude</w:t>
            </w:r>
          </w:p>
        </w:tc>
        <w:tc>
          <w:tcPr>
            <w:tcW w:w="2600" w:type="dxa"/>
            <w:shd w:val="clear" w:color="auto" w:fill="F2F2F2"/>
            <w:tcMar>
              <w:top w:w="80" w:type="dxa"/>
              <w:left w:w="100" w:type="dxa"/>
              <w:bottom w:w="80" w:type="dxa"/>
              <w:right w:w="100" w:type="dxa"/>
            </w:tcMar>
            <w:vAlign w:val="center"/>
          </w:tcPr>
          <w:p w14:paraId="5AC0F3FE" w14:textId="77777777" w:rsidR="008212E7" w:rsidRDefault="008212E7" w:rsidP="004834DD">
            <w:pPr>
              <w:jc w:val="center"/>
            </w:pPr>
            <w:r>
              <w:rPr>
                <w:color w:val="000000"/>
                <w:sz w:val="19"/>
                <w:szCs w:val="19"/>
              </w:rPr>
              <w:t>Globale, négative, positive</w:t>
            </w:r>
          </w:p>
        </w:tc>
        <w:tc>
          <w:tcPr>
            <w:tcW w:w="2600" w:type="dxa"/>
            <w:tcMar>
              <w:top w:w="80" w:type="dxa"/>
              <w:left w:w="100" w:type="dxa"/>
              <w:bottom w:w="80" w:type="dxa"/>
              <w:right w:w="100" w:type="dxa"/>
            </w:tcMar>
            <w:vAlign w:val="center"/>
          </w:tcPr>
          <w:p w14:paraId="375D3E60" w14:textId="77777777" w:rsidR="008212E7" w:rsidRDefault="008212E7" w:rsidP="004834DD">
            <w:pPr>
              <w:jc w:val="center"/>
            </w:pPr>
            <w:r>
              <w:rPr>
                <w:color w:val="000000"/>
                <w:sz w:val="19"/>
                <w:szCs w:val="19"/>
              </w:rPr>
              <w:t>Transversal &gt; longitudinal</w:t>
            </w:r>
          </w:p>
        </w:tc>
      </w:tr>
      <w:tr w:rsidR="008212E7" w14:paraId="5C1DFB4A" w14:textId="77777777" w:rsidTr="004834DD">
        <w:tc>
          <w:tcPr>
            <w:tcW w:w="3400" w:type="dxa"/>
            <w:shd w:val="clear" w:color="auto" w:fill="F2F2F2"/>
            <w:tcMar>
              <w:top w:w="80" w:type="dxa"/>
              <w:left w:w="100" w:type="dxa"/>
              <w:bottom w:w="80" w:type="dxa"/>
              <w:right w:w="100" w:type="dxa"/>
            </w:tcMar>
            <w:vAlign w:val="center"/>
          </w:tcPr>
          <w:p w14:paraId="0F94BC4B" w14:textId="77777777" w:rsidR="008212E7" w:rsidRDefault="008212E7" w:rsidP="004834DD">
            <w:pPr>
              <w:jc w:val="center"/>
            </w:pPr>
            <w:r>
              <w:rPr>
                <w:color w:val="000000"/>
                <w:sz w:val="19"/>
                <w:szCs w:val="19"/>
              </w:rPr>
              <w:t>Informateur de la parentalité</w:t>
            </w:r>
          </w:p>
        </w:tc>
        <w:tc>
          <w:tcPr>
            <w:tcW w:w="2600" w:type="dxa"/>
            <w:tcMar>
              <w:top w:w="80" w:type="dxa"/>
              <w:left w:w="100" w:type="dxa"/>
              <w:bottom w:w="80" w:type="dxa"/>
              <w:right w:w="100" w:type="dxa"/>
            </w:tcMar>
            <w:vAlign w:val="center"/>
          </w:tcPr>
          <w:p w14:paraId="58084D0E" w14:textId="77777777" w:rsidR="008212E7" w:rsidRDefault="008212E7" w:rsidP="004834DD">
            <w:pPr>
              <w:jc w:val="center"/>
            </w:pPr>
            <w:r>
              <w:rPr>
                <w:color w:val="000000"/>
                <w:sz w:val="19"/>
                <w:szCs w:val="19"/>
              </w:rPr>
              <w:t>Globale, positive</w:t>
            </w:r>
          </w:p>
        </w:tc>
        <w:tc>
          <w:tcPr>
            <w:tcW w:w="2600" w:type="dxa"/>
            <w:shd w:val="clear" w:color="auto" w:fill="F2F2F2"/>
            <w:tcMar>
              <w:top w:w="80" w:type="dxa"/>
              <w:left w:w="100" w:type="dxa"/>
              <w:bottom w:w="80" w:type="dxa"/>
              <w:right w:w="100" w:type="dxa"/>
            </w:tcMar>
            <w:vAlign w:val="center"/>
          </w:tcPr>
          <w:p w14:paraId="5180FAAF" w14:textId="77777777" w:rsidR="008212E7" w:rsidRDefault="008212E7" w:rsidP="004834DD">
            <w:pPr>
              <w:jc w:val="center"/>
            </w:pPr>
            <w:r>
              <w:rPr>
                <w:color w:val="000000"/>
                <w:sz w:val="19"/>
                <w:szCs w:val="19"/>
              </w:rPr>
              <w:t>Enfant &gt; parent</w:t>
            </w:r>
          </w:p>
        </w:tc>
      </w:tr>
      <w:tr w:rsidR="008212E7" w14:paraId="3DBFE7FC" w14:textId="77777777" w:rsidTr="004834DD">
        <w:tc>
          <w:tcPr>
            <w:tcW w:w="3400" w:type="dxa"/>
            <w:tcMar>
              <w:top w:w="80" w:type="dxa"/>
              <w:left w:w="100" w:type="dxa"/>
              <w:bottom w:w="80" w:type="dxa"/>
              <w:right w:w="100" w:type="dxa"/>
            </w:tcMar>
            <w:vAlign w:val="center"/>
          </w:tcPr>
          <w:p w14:paraId="053E3F6C" w14:textId="77777777" w:rsidR="008212E7" w:rsidRDefault="008212E7" w:rsidP="004834DD">
            <w:pPr>
              <w:jc w:val="center"/>
            </w:pPr>
            <w:r>
              <w:rPr>
                <w:color w:val="000000"/>
                <w:sz w:val="19"/>
                <w:szCs w:val="19"/>
              </w:rPr>
              <w:t>Sexe de l'enfant (% garçons)</w:t>
            </w:r>
          </w:p>
        </w:tc>
        <w:tc>
          <w:tcPr>
            <w:tcW w:w="2600" w:type="dxa"/>
            <w:shd w:val="clear" w:color="auto" w:fill="F2F2F2"/>
            <w:tcMar>
              <w:top w:w="80" w:type="dxa"/>
              <w:left w:w="100" w:type="dxa"/>
              <w:bottom w:w="80" w:type="dxa"/>
              <w:right w:w="100" w:type="dxa"/>
            </w:tcMar>
            <w:vAlign w:val="center"/>
          </w:tcPr>
          <w:p w14:paraId="4013B72D" w14:textId="77777777" w:rsidR="008212E7" w:rsidRDefault="008212E7" w:rsidP="004834DD">
            <w:pPr>
              <w:jc w:val="center"/>
            </w:pPr>
            <w:r>
              <w:rPr>
                <w:color w:val="000000"/>
                <w:sz w:val="19"/>
                <w:szCs w:val="19"/>
              </w:rPr>
              <w:t>Globale</w:t>
            </w:r>
          </w:p>
        </w:tc>
        <w:tc>
          <w:tcPr>
            <w:tcW w:w="2600" w:type="dxa"/>
            <w:tcMar>
              <w:top w:w="80" w:type="dxa"/>
              <w:left w:w="100" w:type="dxa"/>
              <w:bottom w:w="80" w:type="dxa"/>
              <w:right w:w="100" w:type="dxa"/>
            </w:tcMar>
            <w:vAlign w:val="center"/>
          </w:tcPr>
          <w:p w14:paraId="4F6701E1" w14:textId="77777777" w:rsidR="008212E7" w:rsidRDefault="008212E7" w:rsidP="004834DD">
            <w:pPr>
              <w:jc w:val="center"/>
            </w:pPr>
            <w:r>
              <w:rPr>
                <w:color w:val="000000"/>
                <w:sz w:val="19"/>
                <w:szCs w:val="19"/>
              </w:rPr>
              <w:t>Effet ↓ si % garçons ↑</w:t>
            </w:r>
          </w:p>
        </w:tc>
      </w:tr>
      <w:tr w:rsidR="008212E7" w14:paraId="7839990D" w14:textId="77777777" w:rsidTr="004834DD">
        <w:tc>
          <w:tcPr>
            <w:tcW w:w="3400" w:type="dxa"/>
            <w:shd w:val="clear" w:color="auto" w:fill="F2F2F2"/>
            <w:tcMar>
              <w:top w:w="80" w:type="dxa"/>
              <w:left w:w="100" w:type="dxa"/>
              <w:bottom w:w="80" w:type="dxa"/>
              <w:right w:w="100" w:type="dxa"/>
            </w:tcMar>
            <w:vAlign w:val="center"/>
          </w:tcPr>
          <w:p w14:paraId="063380D2" w14:textId="77777777" w:rsidR="008212E7" w:rsidRDefault="008212E7" w:rsidP="004834DD">
            <w:pPr>
              <w:jc w:val="center"/>
            </w:pPr>
            <w:r>
              <w:rPr>
                <w:color w:val="000000"/>
                <w:sz w:val="19"/>
                <w:szCs w:val="19"/>
              </w:rPr>
              <w:t>Type de traumatisme (collectif/individuel)</w:t>
            </w:r>
          </w:p>
        </w:tc>
        <w:tc>
          <w:tcPr>
            <w:tcW w:w="2600" w:type="dxa"/>
            <w:tcMar>
              <w:top w:w="80" w:type="dxa"/>
              <w:left w:w="100" w:type="dxa"/>
              <w:bottom w:w="80" w:type="dxa"/>
              <w:right w:w="100" w:type="dxa"/>
            </w:tcMar>
            <w:vAlign w:val="center"/>
          </w:tcPr>
          <w:p w14:paraId="00E1BCB4" w14:textId="77777777" w:rsidR="008212E7" w:rsidRDefault="008212E7" w:rsidP="004834DD">
            <w:pPr>
              <w:jc w:val="center"/>
            </w:pPr>
            <w:r>
              <w:rPr>
                <w:color w:val="000000"/>
                <w:sz w:val="19"/>
                <w:szCs w:val="19"/>
              </w:rPr>
              <w:t>Positive</w:t>
            </w:r>
          </w:p>
        </w:tc>
        <w:tc>
          <w:tcPr>
            <w:tcW w:w="2600" w:type="dxa"/>
            <w:shd w:val="clear" w:color="auto" w:fill="F2F2F2"/>
            <w:tcMar>
              <w:top w:w="80" w:type="dxa"/>
              <w:left w:w="100" w:type="dxa"/>
              <w:bottom w:w="80" w:type="dxa"/>
              <w:right w:w="100" w:type="dxa"/>
            </w:tcMar>
            <w:vAlign w:val="center"/>
          </w:tcPr>
          <w:p w14:paraId="6F10F2A5" w14:textId="77777777" w:rsidR="008212E7" w:rsidRDefault="008212E7" w:rsidP="004834DD">
            <w:pPr>
              <w:jc w:val="center"/>
            </w:pPr>
            <w:r>
              <w:rPr>
                <w:color w:val="000000"/>
                <w:sz w:val="19"/>
                <w:szCs w:val="19"/>
              </w:rPr>
              <w:t>Collectif &gt; individuel</w:t>
            </w:r>
          </w:p>
        </w:tc>
      </w:tr>
    </w:tbl>
    <w:p w14:paraId="0A516F6B" w14:textId="77777777" w:rsidR="00DE2D7E" w:rsidRDefault="00DE2D7E" w:rsidP="00DE2D7E">
      <w:pPr>
        <w:pStyle w:val="2"/>
      </w:pPr>
    </w:p>
    <w:p w14:paraId="20FA1F81" w14:textId="77777777" w:rsidR="008212E7" w:rsidRDefault="008212E7" w:rsidP="00540F5A">
      <w:pPr>
        <w:pStyle w:val="1"/>
      </w:pPr>
      <w:r>
        <w:t>4. Discussion</w:t>
      </w:r>
    </w:p>
    <w:p w14:paraId="369762DE" w14:textId="77777777" w:rsidR="008212E7" w:rsidRDefault="008212E7" w:rsidP="008212E7">
      <w:pPr>
        <w:spacing w:after="160" w:line="276" w:lineRule="auto"/>
        <w:jc w:val="both"/>
      </w:pPr>
      <w:r>
        <w:rPr>
          <w:sz w:val="21"/>
          <w:szCs w:val="21"/>
        </w:rPr>
        <w:t>Cette revue confirme l'existence d'une association significative, mais modeste, entre comportements parentaux et SSPT de l'enfant, la parentalité négative présentant une association légèrement supérieure à la parentalité positive, sans différence statistiquement significative entre les deux dimensions.</w:t>
      </w:r>
    </w:p>
    <w:p w14:paraId="68B8B1AB" w14:textId="77777777" w:rsidR="008212E7" w:rsidRDefault="008212E7" w:rsidP="00540F5A">
      <w:pPr>
        <w:pStyle w:val="2"/>
      </w:pPr>
      <w:r>
        <w:t>4.1. Aspects négatifs de la parentalité</w:t>
      </w:r>
    </w:p>
    <w:p w14:paraId="1084D0DB" w14:textId="77777777" w:rsidR="008212E7" w:rsidRDefault="008212E7" w:rsidP="008212E7">
      <w:pPr>
        <w:spacing w:after="160" w:line="276" w:lineRule="auto"/>
        <w:jc w:val="both"/>
      </w:pPr>
      <w:r>
        <w:rPr>
          <w:sz w:val="21"/>
          <w:szCs w:val="21"/>
        </w:rPr>
        <w:t xml:space="preserve">Parmi les sept études portant sur la surprotection parentale, quatre rapportaient une association significative avec les SSPT, d'ampleur faible à modérée. Les résultats concernant l'hostilité parentale étaient moins consistants, seules deux des cinq études disponibles rapportant une association significative, ces dernières présentant par ailleurs des scores de qualité méthodologique globalement plus faibles. Les auteurs soulignent que la restriction de l'autonomie et le contrôle excessif semblent plus </w:t>
      </w:r>
      <w:proofErr w:type="spellStart"/>
      <w:r>
        <w:rPr>
          <w:sz w:val="21"/>
          <w:szCs w:val="21"/>
        </w:rPr>
        <w:t>consistamment</w:t>
      </w:r>
      <w:proofErr w:type="spellEnd"/>
      <w:r>
        <w:rPr>
          <w:sz w:val="21"/>
          <w:szCs w:val="21"/>
        </w:rPr>
        <w:t xml:space="preserve"> associés aux SSPT que l'hostilité manifeste, en cohérence avec la littérature sur l'anxiété infantile.</w:t>
      </w:r>
    </w:p>
    <w:p w14:paraId="524D0BF8" w14:textId="77777777" w:rsidR="008212E7" w:rsidRPr="00540F5A" w:rsidRDefault="008212E7" w:rsidP="00540F5A">
      <w:pPr>
        <w:pStyle w:val="2"/>
      </w:pPr>
      <w:r w:rsidRPr="00540F5A">
        <w:t>4</w:t>
      </w:r>
      <w:r w:rsidRPr="00540F5A">
        <w:rPr>
          <w:rStyle w:val="2Car"/>
          <w:b/>
          <w:bCs/>
          <w:i/>
          <w:iCs/>
        </w:rPr>
        <w:t>.2. Domaines de la parentalité positive</w:t>
      </w:r>
    </w:p>
    <w:p w14:paraId="70D0FB96" w14:textId="77777777" w:rsidR="008212E7" w:rsidRDefault="008212E7" w:rsidP="008212E7">
      <w:pPr>
        <w:spacing w:after="160" w:line="276" w:lineRule="auto"/>
        <w:jc w:val="both"/>
      </w:pPr>
      <w:r>
        <w:rPr>
          <w:sz w:val="21"/>
          <w:szCs w:val="21"/>
        </w:rPr>
        <w:t>Les résultats concernant le soutien et la chaleur parentale demeurent hétérogènes : six études rapportaient une association négative avec les SSPT (davantage de soutien associé à moins de symptômes), tandis que trois études rapportaient une association positive, y compris des effets de sens opposé selon le parent (père versus mère) au sein d'une même étude. Ces résultats suggèrent que le soutien parental n'est pas associé de façon robuste et univoque aux SSPT, et nécessite une investigation complémentaire avant d'être considéré comme cible d'intervention prioritaire.</w:t>
      </w:r>
    </w:p>
    <w:p w14:paraId="1C50A92C" w14:textId="77777777" w:rsidR="008212E7" w:rsidRDefault="008212E7" w:rsidP="00540F5A">
      <w:pPr>
        <w:pStyle w:val="2"/>
      </w:pPr>
      <w:r>
        <w:lastRenderedPageBreak/>
        <w:t>4.3. Modérateurs des effets</w:t>
      </w:r>
    </w:p>
    <w:p w14:paraId="5D76C43D" w14:textId="77777777" w:rsidR="008212E7" w:rsidRDefault="008212E7" w:rsidP="008212E7">
      <w:pPr>
        <w:spacing w:after="160" w:line="276" w:lineRule="auto"/>
        <w:jc w:val="both"/>
      </w:pPr>
      <w:r>
        <w:rPr>
          <w:sz w:val="21"/>
          <w:szCs w:val="21"/>
        </w:rPr>
        <w:t>Le devis d'étude constituait un modérateur transversal à l'ensemble des analyses, les études transversales produisant des tailles d'effet plus élevées que les études longitudinales, ce qui interroge le sens de causalité entre parentalité et symptomatologie de l'enfant. Le sexe de l'enfant modérait l'association globale (effet plus marqué lorsque la proportion de filles était plus élevée), en cohérence avec les revues antérieures. Le caractère collectif (par opposition à individuel) du traumatisme modérait spécifiquement l'association avec la parentalité positive. Enfin, l'informateur de la parentalité (enfant versus parent) modérait l'association globale et positive, le rapport de l'enfant produisant systématiquement des tailles d'effet plus élevées, possiblement en lien avec un biais de désirabilité sociale dans le rapport parental ou un biais de source unique.</w:t>
      </w:r>
    </w:p>
    <w:p w14:paraId="30534E66" w14:textId="77777777" w:rsidR="008212E7" w:rsidRDefault="008212E7" w:rsidP="00540F5A">
      <w:pPr>
        <w:pStyle w:val="2"/>
      </w:pPr>
      <w:r>
        <w:t>4.4. Vue d'ensemble de la littérature</w:t>
      </w:r>
    </w:p>
    <w:p w14:paraId="06F36AA9" w14:textId="77777777" w:rsidR="008212E7" w:rsidRDefault="008212E7" w:rsidP="008212E7">
      <w:pPr>
        <w:spacing w:after="160" w:line="276" w:lineRule="auto"/>
        <w:jc w:val="both"/>
      </w:pPr>
      <w:r>
        <w:rPr>
          <w:sz w:val="21"/>
          <w:szCs w:val="21"/>
        </w:rPr>
        <w:t>Les auteurs relèvent plusieurs limites transversales à la littérature existante : prédominance des devis transversaux, quasi-absence de mesures observationnelles indépendantes de la parentalité (la majorité des études reposant sur des questionnaires), faible prise en compte de la psychopathologie parentale (notamment le TSPT parental, mesuré dans seulement trois études), et sous-représentation des échantillons issus de contextes non occidentaux à haut risque. La contribution du fonctionnement familial global et du contexte de menace environnementale continue est également soulignée comme un facteur potentiellement confondant.</w:t>
      </w:r>
    </w:p>
    <w:p w14:paraId="434F936F" w14:textId="77777777" w:rsidR="008212E7" w:rsidRDefault="008212E7" w:rsidP="00540F5A">
      <w:pPr>
        <w:pStyle w:val="2"/>
      </w:pPr>
      <w:r>
        <w:t>4.5. Implications cliniques</w:t>
      </w:r>
    </w:p>
    <w:p w14:paraId="5ED7F272" w14:textId="77777777" w:rsidR="008212E7" w:rsidRDefault="008212E7" w:rsidP="008212E7">
      <w:pPr>
        <w:spacing w:after="160" w:line="276" w:lineRule="auto"/>
        <w:jc w:val="both"/>
      </w:pPr>
      <w:r>
        <w:rPr>
          <w:sz w:val="21"/>
          <w:szCs w:val="21"/>
        </w:rPr>
        <w:t xml:space="preserve">La participation parentale aux interventions centrées sur le TSPT de l'enfant est associée à de meilleurs résultats thérapeutiques que les interventions centrées exclusivement sur l'enfant ou sur le parent. Ces données suggèrent l'intérêt potentiel d'intégrer, au sein des protocoles de thérapie </w:t>
      </w:r>
      <w:proofErr w:type="spellStart"/>
      <w:r>
        <w:rPr>
          <w:sz w:val="21"/>
          <w:szCs w:val="21"/>
        </w:rPr>
        <w:t>cognitivo</w:t>
      </w:r>
      <w:proofErr w:type="spellEnd"/>
      <w:r>
        <w:rPr>
          <w:sz w:val="21"/>
          <w:szCs w:val="21"/>
        </w:rPr>
        <w:t xml:space="preserve">-comportementale centrée sur le traumatisme (TCC-T), un volet spécifique portant sur les pratiques parentales délétères, notamment la surprotection, ainsi que sur l'amélioration de la communication intrafamiliale, à l'image de la Child and Family </w:t>
      </w:r>
      <w:proofErr w:type="spellStart"/>
      <w:r>
        <w:rPr>
          <w:sz w:val="21"/>
          <w:szCs w:val="21"/>
        </w:rPr>
        <w:t>Traumatic</w:t>
      </w:r>
      <w:proofErr w:type="spellEnd"/>
      <w:r>
        <w:rPr>
          <w:sz w:val="21"/>
          <w:szCs w:val="21"/>
        </w:rPr>
        <w:t xml:space="preserve"> Stress Intervention.</w:t>
      </w:r>
    </w:p>
    <w:p w14:paraId="2E4B64C9" w14:textId="77777777" w:rsidR="008212E7" w:rsidRDefault="008212E7" w:rsidP="00540F5A">
      <w:pPr>
        <w:pStyle w:val="1"/>
      </w:pPr>
      <w:r>
        <w:t>Conclusion</w:t>
      </w:r>
    </w:p>
    <w:p w14:paraId="1D664944" w14:textId="77777777" w:rsidR="008212E7" w:rsidRDefault="008212E7" w:rsidP="008212E7">
      <w:pPr>
        <w:spacing w:after="160" w:line="276" w:lineRule="auto"/>
        <w:jc w:val="both"/>
        <w:rPr>
          <w:sz w:val="21"/>
          <w:szCs w:val="21"/>
        </w:rPr>
      </w:pPr>
      <w:r>
        <w:rPr>
          <w:sz w:val="21"/>
          <w:szCs w:val="21"/>
        </w:rPr>
        <w:t>Cette méta-analyse met en évidence une association significative, mais de faible ampleur, entre comportements parentaux et SSPT de l'enfant, plus marquée pour la parentalité négative (5,3 % de variance expliquée) que pour la parentalité positive (2,0 %), sans différence statistique significative entre les deux dimensions. Compte tenu du nombre limité d'études de haute qualité méthodologique disponibles, ces conclusions demeurent provisoires. Les auteurs recommandent la poursuite des recherches, notamment au moyen de devis longitudinaux et de mesures observationnelles, en tenant compte d'autres facteurs et modérateurs susceptibles d'influencer le développement du TSPT de l'enfant.</w:t>
      </w:r>
    </w:p>
    <w:p w14:paraId="04126CEC" w14:textId="5087FD1A" w:rsidR="00785643" w:rsidRDefault="00785643" w:rsidP="00785643">
      <w:pPr>
        <w:spacing w:after="160" w:line="276" w:lineRule="auto"/>
        <w:jc w:val="center"/>
        <w:rPr>
          <w:b/>
          <w:bCs/>
          <w:sz w:val="21"/>
          <w:szCs w:val="21"/>
        </w:rPr>
      </w:pPr>
      <w:r>
        <w:rPr>
          <w:b/>
          <w:bCs/>
          <w:sz w:val="21"/>
          <w:szCs w:val="21"/>
        </w:rPr>
        <w:t>CPUA</w:t>
      </w:r>
    </w:p>
    <w:p w14:paraId="4FAE4ED9" w14:textId="0E253790" w:rsidR="00785643" w:rsidRPr="00785643" w:rsidRDefault="00785643" w:rsidP="00785643">
      <w:pPr>
        <w:spacing w:after="160" w:line="276" w:lineRule="auto"/>
        <w:jc w:val="center"/>
        <w:rPr>
          <w:b/>
          <w:bCs/>
          <w:sz w:val="21"/>
          <w:szCs w:val="21"/>
        </w:rPr>
      </w:pPr>
      <w:r>
        <w:rPr>
          <w:b/>
          <w:bCs/>
          <w:sz w:val="21"/>
          <w:szCs w:val="21"/>
        </w:rPr>
        <w:t>CHU MOHAMMED VI AGADIR</w:t>
      </w:r>
    </w:p>
    <w:p w14:paraId="7BE27DB4" w14:textId="54126C86" w:rsidR="00785643" w:rsidRPr="00785643" w:rsidRDefault="00785643" w:rsidP="00785643">
      <w:pPr>
        <w:spacing w:after="160" w:line="276" w:lineRule="auto"/>
        <w:jc w:val="center"/>
        <w:rPr>
          <w:b/>
          <w:bCs/>
          <w:sz w:val="21"/>
          <w:szCs w:val="21"/>
        </w:rPr>
      </w:pPr>
      <w:r w:rsidRPr="00785643">
        <w:rPr>
          <w:b/>
          <w:bCs/>
          <w:sz w:val="21"/>
          <w:szCs w:val="21"/>
        </w:rPr>
        <w:t>Synthèse réalisée par Dr Chakri Soukayna</w:t>
      </w:r>
    </w:p>
    <w:p w14:paraId="7960D235" w14:textId="126D2BA6" w:rsidR="00785643" w:rsidRDefault="00785643" w:rsidP="008212E7">
      <w:pPr>
        <w:spacing w:after="160" w:line="276" w:lineRule="auto"/>
        <w:jc w:val="both"/>
      </w:pPr>
      <w:r>
        <w:rPr>
          <w:sz w:val="21"/>
          <w:szCs w:val="21"/>
        </w:rPr>
        <w:t xml:space="preserve"> </w:t>
      </w:r>
    </w:p>
    <w:p w14:paraId="35721C50" w14:textId="0C509A01" w:rsidR="00FF1392" w:rsidRPr="00E9240E" w:rsidRDefault="00FF1392" w:rsidP="008212E7">
      <w:pPr>
        <w:rPr>
          <w:rFonts w:ascii="Segoe UI Semilight" w:hAnsi="Segoe UI Semilight" w:cs="Segoe UI Semilight"/>
          <w:sz w:val="18"/>
          <w:szCs w:val="18"/>
        </w:rPr>
      </w:pPr>
    </w:p>
    <w:sectPr w:rsidR="00FF1392" w:rsidRPr="00E9240E" w:rsidSect="008212E7">
      <w:pgSz w:w="11906" w:h="16838"/>
      <w:pgMar w:top="851" w:right="1440" w:bottom="144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453E9"/>
    <w:multiLevelType w:val="hybridMultilevel"/>
    <w:tmpl w:val="92402A7E"/>
    <w:lvl w:ilvl="0" w:tplc="72B4C0C6">
      <w:start w:val="1"/>
      <w:numFmt w:val="bullet"/>
      <w:lvlText w:val="●"/>
      <w:lvlJc w:val="left"/>
      <w:pPr>
        <w:ind w:left="720" w:hanging="360"/>
      </w:pPr>
    </w:lvl>
    <w:lvl w:ilvl="1" w:tplc="1FEC0E90">
      <w:start w:val="1"/>
      <w:numFmt w:val="bullet"/>
      <w:lvlText w:val="○"/>
      <w:lvlJc w:val="left"/>
      <w:pPr>
        <w:ind w:left="1440" w:hanging="360"/>
      </w:pPr>
    </w:lvl>
    <w:lvl w:ilvl="2" w:tplc="0A48AD7C">
      <w:start w:val="1"/>
      <w:numFmt w:val="bullet"/>
      <w:lvlText w:val="■"/>
      <w:lvlJc w:val="left"/>
      <w:pPr>
        <w:ind w:left="2160" w:hanging="360"/>
      </w:pPr>
    </w:lvl>
    <w:lvl w:ilvl="3" w:tplc="0DBC5394">
      <w:start w:val="1"/>
      <w:numFmt w:val="bullet"/>
      <w:lvlText w:val="●"/>
      <w:lvlJc w:val="left"/>
      <w:pPr>
        <w:ind w:left="2880" w:hanging="360"/>
      </w:pPr>
    </w:lvl>
    <w:lvl w:ilvl="4" w:tplc="CFB4A9FC">
      <w:start w:val="1"/>
      <w:numFmt w:val="bullet"/>
      <w:lvlText w:val="○"/>
      <w:lvlJc w:val="left"/>
      <w:pPr>
        <w:ind w:left="3600" w:hanging="360"/>
      </w:pPr>
    </w:lvl>
    <w:lvl w:ilvl="5" w:tplc="C8E20078">
      <w:start w:val="1"/>
      <w:numFmt w:val="bullet"/>
      <w:lvlText w:val="■"/>
      <w:lvlJc w:val="left"/>
      <w:pPr>
        <w:ind w:left="4320" w:hanging="360"/>
      </w:pPr>
    </w:lvl>
    <w:lvl w:ilvl="6" w:tplc="7444F3C2">
      <w:start w:val="1"/>
      <w:numFmt w:val="bullet"/>
      <w:lvlText w:val="●"/>
      <w:lvlJc w:val="left"/>
      <w:pPr>
        <w:ind w:left="5040" w:hanging="360"/>
      </w:pPr>
    </w:lvl>
    <w:lvl w:ilvl="7" w:tplc="0FC09654">
      <w:start w:val="1"/>
      <w:numFmt w:val="bullet"/>
      <w:lvlText w:val="●"/>
      <w:lvlJc w:val="left"/>
      <w:pPr>
        <w:ind w:left="5760" w:hanging="360"/>
      </w:pPr>
    </w:lvl>
    <w:lvl w:ilvl="8" w:tplc="B798D4E8">
      <w:start w:val="1"/>
      <w:numFmt w:val="bullet"/>
      <w:lvlText w:val="●"/>
      <w:lvlJc w:val="left"/>
      <w:pPr>
        <w:ind w:left="6480" w:hanging="360"/>
      </w:pPr>
    </w:lvl>
  </w:abstractNum>
  <w:num w:numId="1" w16cid:durableId="15585907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392"/>
    <w:rsid w:val="00074950"/>
    <w:rsid w:val="001B20A7"/>
    <w:rsid w:val="001C6930"/>
    <w:rsid w:val="00291DCF"/>
    <w:rsid w:val="0046417A"/>
    <w:rsid w:val="0049029C"/>
    <w:rsid w:val="004C57DB"/>
    <w:rsid w:val="00540F5A"/>
    <w:rsid w:val="00785643"/>
    <w:rsid w:val="008212E7"/>
    <w:rsid w:val="00866869"/>
    <w:rsid w:val="008A61D7"/>
    <w:rsid w:val="008D66FE"/>
    <w:rsid w:val="008E66E8"/>
    <w:rsid w:val="00A74B6B"/>
    <w:rsid w:val="00BD1FF1"/>
    <w:rsid w:val="00D0317A"/>
    <w:rsid w:val="00D333B9"/>
    <w:rsid w:val="00DE2D7E"/>
    <w:rsid w:val="00E00301"/>
    <w:rsid w:val="00E9240E"/>
    <w:rsid w:val="00F050E1"/>
    <w:rsid w:val="00F81C5E"/>
    <w:rsid w:val="00F95A5B"/>
    <w:rsid w:val="00FF139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8C1A"/>
  <w15:docId w15:val="{5B715CC7-278D-443D-9D70-919C591D7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link w:val="lev1Car"/>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Citationintense">
    <w:name w:val="Intense Quote"/>
    <w:basedOn w:val="Normal"/>
    <w:next w:val="Normal"/>
    <w:link w:val="CitationintenseCar"/>
    <w:uiPriority w:val="30"/>
    <w:qFormat/>
    <w:rsid w:val="00E0030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CitationintenseCar">
    <w:name w:val="Citation intense Car"/>
    <w:basedOn w:val="Policepardfaut"/>
    <w:link w:val="Citationintense"/>
    <w:uiPriority w:val="30"/>
    <w:rsid w:val="00E00301"/>
    <w:rPr>
      <w:i/>
      <w:iCs/>
      <w:color w:val="156082" w:themeColor="accent1"/>
    </w:rPr>
  </w:style>
  <w:style w:type="character" w:styleId="lev">
    <w:name w:val="Strong"/>
    <w:basedOn w:val="Policepardfaut"/>
    <w:uiPriority w:val="22"/>
    <w:qFormat/>
    <w:rsid w:val="00074950"/>
    <w:rPr>
      <w:b/>
      <w:bCs/>
    </w:rPr>
  </w:style>
  <w:style w:type="paragraph" w:customStyle="1" w:styleId="1">
    <w:name w:val="1"/>
    <w:basedOn w:val="Normal"/>
    <w:link w:val="1Car"/>
    <w:qFormat/>
    <w:rsid w:val="00E9240E"/>
    <w:pPr>
      <w:spacing w:after="120"/>
    </w:pPr>
    <w:rPr>
      <w:b/>
      <w:bCs/>
      <w:color w:val="BF4E14" w:themeColor="accent2" w:themeShade="BF"/>
      <w:sz w:val="32"/>
      <w:szCs w:val="32"/>
    </w:rPr>
  </w:style>
  <w:style w:type="character" w:customStyle="1" w:styleId="1Car">
    <w:name w:val="1 Car"/>
    <w:basedOn w:val="Policepardfaut"/>
    <w:link w:val="1"/>
    <w:rsid w:val="00E9240E"/>
    <w:rPr>
      <w:b/>
      <w:bCs/>
      <w:color w:val="BF4E14" w:themeColor="accent2" w:themeShade="BF"/>
      <w:sz w:val="32"/>
      <w:szCs w:val="32"/>
    </w:rPr>
  </w:style>
  <w:style w:type="paragraph" w:customStyle="1" w:styleId="2">
    <w:name w:val="2"/>
    <w:basedOn w:val="lev1"/>
    <w:link w:val="2Car"/>
    <w:qFormat/>
    <w:rsid w:val="00E9240E"/>
    <w:pPr>
      <w:spacing w:after="120"/>
    </w:pPr>
    <w:rPr>
      <w:i/>
      <w:iCs/>
      <w:color w:val="4EA72E" w:themeColor="accent6"/>
      <w:sz w:val="26"/>
      <w:szCs w:val="26"/>
    </w:rPr>
  </w:style>
  <w:style w:type="character" w:customStyle="1" w:styleId="lev1Car">
    <w:name w:val="Élevé1 Car"/>
    <w:basedOn w:val="Policepardfaut"/>
    <w:link w:val="lev1"/>
    <w:rsid w:val="00E9240E"/>
    <w:rPr>
      <w:b/>
      <w:bCs/>
    </w:rPr>
  </w:style>
  <w:style w:type="character" w:customStyle="1" w:styleId="2Car">
    <w:name w:val="2 Car"/>
    <w:basedOn w:val="lev1Car"/>
    <w:link w:val="2"/>
    <w:rsid w:val="00E9240E"/>
    <w:rPr>
      <w:b/>
      <w:bCs/>
      <w:i/>
      <w:iCs/>
      <w:color w:val="4EA72E" w:themeColor="accent6"/>
      <w:sz w:val="26"/>
      <w:szCs w:val="26"/>
    </w:rPr>
  </w:style>
  <w:style w:type="paragraph" w:customStyle="1" w:styleId="3">
    <w:name w:val="3"/>
    <w:basedOn w:val="2"/>
    <w:link w:val="3Car"/>
    <w:qFormat/>
    <w:rsid w:val="00E9240E"/>
    <w:rPr>
      <w:color w:val="77206D" w:themeColor="accent5" w:themeShade="BF"/>
      <w:sz w:val="25"/>
      <w:szCs w:val="25"/>
    </w:rPr>
  </w:style>
  <w:style w:type="character" w:customStyle="1" w:styleId="3Car">
    <w:name w:val="3 Car"/>
    <w:basedOn w:val="2Car"/>
    <w:link w:val="3"/>
    <w:rsid w:val="00E9240E"/>
    <w:rPr>
      <w:b/>
      <w:bCs/>
      <w:i/>
      <w:iCs/>
      <w:color w:val="77206D" w:themeColor="accent5" w:themeShade="BF"/>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1876</Words>
  <Characters>10321</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khadija Akebour</cp:lastModifiedBy>
  <cp:revision>12</cp:revision>
  <dcterms:created xsi:type="dcterms:W3CDTF">2026-07-25T21:35:00Z</dcterms:created>
  <dcterms:modified xsi:type="dcterms:W3CDTF">2026-08-30T10:11:00Z</dcterms:modified>
</cp:coreProperties>
</file>