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B0DA4" w14:textId="0B608197" w:rsidR="008A61D7" w:rsidRPr="00E9240E" w:rsidRDefault="008A61D7" w:rsidP="00F050E1">
      <w:pPr>
        <w:spacing w:after="120"/>
        <w:jc w:val="both"/>
        <w:rPr>
          <w:rFonts w:ascii="Segoe UI Semilight" w:hAnsi="Segoe UI Semilight" w:cs="Segoe UI Semilight"/>
          <w:b/>
          <w:bCs/>
          <w:i/>
          <w:iCs/>
          <w:sz w:val="28"/>
          <w:szCs w:val="28"/>
        </w:rPr>
      </w:pPr>
      <w:r w:rsidRPr="00E9240E">
        <w:rPr>
          <w:rFonts w:ascii="Segoe UI Semilight" w:hAnsi="Segoe UI Semilight" w:cs="Segoe UI Semilight"/>
          <w:b/>
          <w:bCs/>
          <w:sz w:val="28"/>
          <w:szCs w:val="28"/>
        </w:rPr>
        <w:t xml:space="preserve">Crises </w:t>
      </w:r>
      <w:r w:rsidR="00E9240E" w:rsidRPr="00E9240E">
        <w:rPr>
          <w:rFonts w:ascii="Segoe UI Semilight" w:hAnsi="Segoe UI Semilight" w:cs="Segoe UI Semilight"/>
          <w:b/>
          <w:bCs/>
          <w:sz w:val="28"/>
          <w:szCs w:val="28"/>
        </w:rPr>
        <w:t xml:space="preserve">Fonctionnelles/Dissociatives : Proposition D'une Nouvelle Dénomination Diagnostique Et D'une Nouvelle Définition Par Le Groupe De Travail De La </w:t>
      </w:r>
      <w:r w:rsidRPr="00E9240E">
        <w:rPr>
          <w:rFonts w:ascii="Segoe UI Semilight" w:hAnsi="Segoe UI Semilight" w:cs="Segoe UI Semilight"/>
          <w:b/>
          <w:bCs/>
          <w:sz w:val="28"/>
          <w:szCs w:val="28"/>
        </w:rPr>
        <w:t xml:space="preserve">Ligue </w:t>
      </w:r>
      <w:r w:rsidR="00E9240E" w:rsidRPr="00E9240E">
        <w:rPr>
          <w:rFonts w:ascii="Segoe UI Semilight" w:hAnsi="Segoe UI Semilight" w:cs="Segoe UI Semilight"/>
          <w:b/>
          <w:bCs/>
          <w:sz w:val="28"/>
          <w:szCs w:val="28"/>
        </w:rPr>
        <w:t>Internationale Contre L'épilepsie (</w:t>
      </w:r>
      <w:r w:rsidRPr="00E9240E">
        <w:rPr>
          <w:rFonts w:ascii="Segoe UI Semilight" w:hAnsi="Segoe UI Semilight" w:cs="Segoe UI Semilight"/>
          <w:b/>
          <w:bCs/>
          <w:sz w:val="28"/>
          <w:szCs w:val="28"/>
        </w:rPr>
        <w:t>ILAE</w:t>
      </w:r>
      <w:r w:rsidR="00E9240E" w:rsidRPr="00E9240E">
        <w:rPr>
          <w:rFonts w:ascii="Segoe UI Semilight" w:hAnsi="Segoe UI Semilight" w:cs="Segoe UI Semilight"/>
          <w:b/>
          <w:bCs/>
          <w:sz w:val="28"/>
          <w:szCs w:val="28"/>
        </w:rPr>
        <w:t>).</w:t>
      </w:r>
      <w:r w:rsidR="00E9240E" w:rsidRPr="00E9240E">
        <w:rPr>
          <w:rFonts w:ascii="Segoe UI Semilight" w:hAnsi="Segoe UI Semilight" w:cs="Segoe UI Semilight"/>
          <w:b/>
          <w:bCs/>
          <w:i/>
          <w:iCs/>
          <w:sz w:val="28"/>
          <w:szCs w:val="28"/>
        </w:rPr>
        <w:t xml:space="preserve"> </w:t>
      </w:r>
    </w:p>
    <w:p w14:paraId="20E072A0" w14:textId="15C2E786" w:rsidR="00FF1392" w:rsidRPr="00E9240E" w:rsidRDefault="00000000" w:rsidP="00E9240E">
      <w:pPr>
        <w:spacing w:after="120"/>
        <w:rPr>
          <w:rFonts w:ascii="Segoe UI Semilight" w:hAnsi="Segoe UI Semilight" w:cs="Segoe UI Semilight"/>
          <w:i/>
          <w:iCs/>
          <w:sz w:val="18"/>
          <w:szCs w:val="18"/>
        </w:rPr>
      </w:pPr>
      <w:proofErr w:type="spellStart"/>
      <w:r w:rsidRPr="00E9240E">
        <w:rPr>
          <w:rFonts w:ascii="Segoe UI Semilight" w:hAnsi="Segoe UI Semilight" w:cs="Segoe UI Semilight"/>
          <w:i/>
          <w:iCs/>
          <w:sz w:val="18"/>
          <w:szCs w:val="18"/>
          <w:lang w:val="en-US"/>
        </w:rPr>
        <w:t>Hingray</w:t>
      </w:r>
      <w:proofErr w:type="spellEnd"/>
      <w:r w:rsidRPr="00E9240E">
        <w:rPr>
          <w:rFonts w:ascii="Segoe UI Semilight" w:hAnsi="Segoe UI Semilight" w:cs="Segoe UI Semilight"/>
          <w:i/>
          <w:iCs/>
          <w:sz w:val="18"/>
          <w:szCs w:val="18"/>
          <w:lang w:val="en-US"/>
        </w:rPr>
        <w:t xml:space="preserve"> C, </w:t>
      </w:r>
      <w:proofErr w:type="spellStart"/>
      <w:r w:rsidRPr="00E9240E">
        <w:rPr>
          <w:rFonts w:ascii="Segoe UI Semilight" w:hAnsi="Segoe UI Semilight" w:cs="Segoe UI Semilight"/>
          <w:i/>
          <w:iCs/>
          <w:sz w:val="18"/>
          <w:szCs w:val="18"/>
          <w:lang w:val="en-US"/>
        </w:rPr>
        <w:t>Popkirov</w:t>
      </w:r>
      <w:proofErr w:type="spellEnd"/>
      <w:r w:rsidRPr="00E9240E">
        <w:rPr>
          <w:rFonts w:ascii="Segoe UI Semilight" w:hAnsi="Segoe UI Semilight" w:cs="Segoe UI Semilight"/>
          <w:i/>
          <w:iCs/>
          <w:sz w:val="18"/>
          <w:szCs w:val="18"/>
          <w:lang w:val="en-US"/>
        </w:rPr>
        <w:t xml:space="preserve"> S, Kozlowska K, Pretorius C, </w:t>
      </w:r>
      <w:proofErr w:type="spellStart"/>
      <w:r w:rsidRPr="00E9240E">
        <w:rPr>
          <w:rFonts w:ascii="Segoe UI Semilight" w:hAnsi="Segoe UI Semilight" w:cs="Segoe UI Semilight"/>
          <w:i/>
          <w:iCs/>
          <w:sz w:val="18"/>
          <w:szCs w:val="18"/>
          <w:lang w:val="en-US"/>
        </w:rPr>
        <w:t>Sarudiansky</w:t>
      </w:r>
      <w:proofErr w:type="spellEnd"/>
      <w:r w:rsidRPr="00E9240E">
        <w:rPr>
          <w:rFonts w:ascii="Segoe UI Semilight" w:hAnsi="Segoe UI Semilight" w:cs="Segoe UI Semilight"/>
          <w:i/>
          <w:iCs/>
          <w:sz w:val="18"/>
          <w:szCs w:val="18"/>
          <w:lang w:val="en-US"/>
        </w:rPr>
        <w:t xml:space="preserve"> M, El-Hage W, et al. </w:t>
      </w:r>
      <w:proofErr w:type="spellStart"/>
      <w:r w:rsidRPr="00E9240E">
        <w:rPr>
          <w:rFonts w:ascii="Segoe UI Semilight" w:hAnsi="Segoe UI Semilight" w:cs="Segoe UI Semilight"/>
          <w:i/>
          <w:iCs/>
          <w:sz w:val="18"/>
          <w:szCs w:val="18"/>
        </w:rPr>
        <w:t>Epilepsia</w:t>
      </w:r>
      <w:proofErr w:type="spellEnd"/>
      <w:r w:rsidRPr="00E9240E">
        <w:rPr>
          <w:rFonts w:ascii="Segoe UI Semilight" w:hAnsi="Segoe UI Semilight" w:cs="Segoe UI Semilight"/>
          <w:i/>
          <w:iCs/>
          <w:sz w:val="18"/>
          <w:szCs w:val="18"/>
        </w:rPr>
        <w:t xml:space="preserve">. </w:t>
      </w:r>
      <w:proofErr w:type="gramStart"/>
      <w:r w:rsidRPr="00E9240E">
        <w:rPr>
          <w:rFonts w:ascii="Segoe UI Semilight" w:hAnsi="Segoe UI Semilight" w:cs="Segoe UI Semilight"/>
          <w:i/>
          <w:iCs/>
          <w:sz w:val="18"/>
          <w:szCs w:val="18"/>
        </w:rPr>
        <w:t>2025;66:</w:t>
      </w:r>
      <w:proofErr w:type="gramEnd"/>
      <w:r w:rsidRPr="00E9240E">
        <w:rPr>
          <w:rFonts w:ascii="Segoe UI Semilight" w:hAnsi="Segoe UI Semilight" w:cs="Segoe UI Semilight"/>
          <w:i/>
          <w:iCs/>
          <w:sz w:val="18"/>
          <w:szCs w:val="18"/>
        </w:rPr>
        <w:t>4162–4182.</w:t>
      </w:r>
    </w:p>
    <w:p w14:paraId="2060DD22" w14:textId="4800FBCD" w:rsidR="00E9240E" w:rsidRPr="00E9240E" w:rsidRDefault="00E9240E" w:rsidP="00E9240E">
      <w:pPr>
        <w:spacing w:after="240"/>
        <w:rPr>
          <w:rFonts w:ascii="Segoe UI Semilight" w:eastAsia="GuardianSansGR-Regular" w:hAnsi="Segoe UI Semilight" w:cs="Segoe UI Semilight"/>
          <w:i/>
          <w:iCs/>
          <w:sz w:val="7"/>
          <w:szCs w:val="7"/>
        </w:rPr>
      </w:pPr>
      <w:r w:rsidRPr="00E9240E">
        <w:rPr>
          <w:rFonts w:ascii="Segoe UI Semilight" w:eastAsia="GuardianSansGR-Regular" w:hAnsi="Segoe UI Semilight" w:cs="Segoe UI Semilight"/>
          <w:i/>
          <w:iCs/>
          <w:sz w:val="16"/>
          <w:szCs w:val="16"/>
        </w:rPr>
        <w:t>Synthèse réalisée par</w:t>
      </w:r>
      <w:r w:rsidRPr="00E9240E">
        <w:rPr>
          <w:rFonts w:ascii="Segoe UI Semilight" w:eastAsia="GuardianSansGR-Regular" w:hAnsi="Segoe UI Semilight" w:cs="Segoe UI Semilight"/>
          <w:b/>
          <w:bCs/>
          <w:i/>
          <w:iCs/>
          <w:sz w:val="16"/>
          <w:szCs w:val="16"/>
        </w:rPr>
        <w:t xml:space="preserve"> Dr Chakri Soukayna</w:t>
      </w:r>
    </w:p>
    <w:p w14:paraId="5D9A2D07" w14:textId="77777777" w:rsidR="00FF1392" w:rsidRPr="00E9240E" w:rsidRDefault="00000000" w:rsidP="00E9240E">
      <w:pPr>
        <w:pStyle w:val="1"/>
        <w:rPr>
          <w:rFonts w:ascii="Segoe UI Semilight" w:hAnsi="Segoe UI Semilight" w:cs="Segoe UI Semilight"/>
          <w:sz w:val="28"/>
          <w:szCs w:val="28"/>
        </w:rPr>
      </w:pPr>
      <w:r w:rsidRPr="00E9240E">
        <w:rPr>
          <w:rFonts w:ascii="Segoe UI Semilight" w:hAnsi="Segoe UI Semilight" w:cs="Segoe UI Semilight"/>
          <w:sz w:val="28"/>
          <w:szCs w:val="28"/>
        </w:rPr>
        <w:t>1. Introduction</w:t>
      </w:r>
    </w:p>
    <w:p w14:paraId="7EBE5BA0" w14:textId="77777777" w:rsidR="00FF1392" w:rsidRPr="00E9240E" w:rsidRDefault="00000000">
      <w:pPr>
        <w:spacing w:after="200" w:line="276" w:lineRule="auto"/>
        <w:jc w:val="both"/>
        <w:rPr>
          <w:rFonts w:ascii="Segoe UI Semilight" w:hAnsi="Segoe UI Semilight" w:cs="Segoe UI Semilight"/>
          <w:sz w:val="18"/>
          <w:szCs w:val="18"/>
        </w:rPr>
      </w:pPr>
      <w:r w:rsidRPr="00E9240E">
        <w:rPr>
          <w:rFonts w:ascii="Segoe UI Semilight" w:hAnsi="Segoe UI Semilight" w:cs="Segoe UI Semilight"/>
          <w:sz w:val="18"/>
          <w:szCs w:val="18"/>
        </w:rPr>
        <w:t>La validité et l'acceptabilité du terme « crises non épileptiques psychogènes » (CNEP) sont remises en question par certains experts. Le terme « psychogène » est jugé dualiste et péjoratif, tandis que « non épileptique » ne fait que définir le trouble de manière négative. Ces critiques, ainsi que l'usage de multiples appellations alternatives (conversion, dissociatif, fonctionnel, crises, attaques, événements) dans la littérature et la pratique clinique, entretiennent une confusion chez les professionnels et les patients, avec un possible retentissement négatif sur le financement de la recherche et le développement des services de soins.</w:t>
      </w:r>
    </w:p>
    <w:p w14:paraId="67CE1384" w14:textId="473AD0FF" w:rsidR="00FF1392" w:rsidRPr="00E9240E" w:rsidRDefault="00000000">
      <w:pPr>
        <w:spacing w:after="200" w:line="276" w:lineRule="auto"/>
        <w:jc w:val="both"/>
        <w:rPr>
          <w:rFonts w:ascii="Segoe UI Semilight" w:hAnsi="Segoe UI Semilight" w:cs="Segoe UI Semilight"/>
          <w:sz w:val="18"/>
          <w:szCs w:val="18"/>
        </w:rPr>
      </w:pPr>
      <w:r w:rsidRPr="00E9240E">
        <w:rPr>
          <w:rFonts w:ascii="Segoe UI Semilight" w:hAnsi="Segoe UI Semilight" w:cs="Segoe UI Semilight"/>
          <w:sz w:val="18"/>
          <w:szCs w:val="18"/>
        </w:rPr>
        <w:t xml:space="preserve">Avant de proposer </w:t>
      </w:r>
      <w:r w:rsidR="008A61D7" w:rsidRPr="00E9240E">
        <w:rPr>
          <w:rFonts w:ascii="Segoe UI Semilight" w:hAnsi="Segoe UI Semilight" w:cs="Segoe UI Semilight"/>
          <w:sz w:val="18"/>
          <w:szCs w:val="18"/>
        </w:rPr>
        <w:t>une nouvelle dénomination</w:t>
      </w:r>
      <w:r w:rsidRPr="00E9240E">
        <w:rPr>
          <w:rFonts w:ascii="Segoe UI Semilight" w:hAnsi="Segoe UI Semilight" w:cs="Segoe UI Semilight"/>
          <w:sz w:val="18"/>
          <w:szCs w:val="18"/>
        </w:rPr>
        <w:t xml:space="preserve">, les auteurs définissent d'abord l'entité clinique visée, qu'ils dénomment « </w:t>
      </w:r>
      <w:r w:rsidRPr="00E9240E">
        <w:rPr>
          <w:rFonts w:ascii="Segoe UI Semilight" w:hAnsi="Segoe UI Semilight" w:cs="Segoe UI Semilight"/>
          <w:color w:val="EE0000"/>
          <w:sz w:val="18"/>
          <w:szCs w:val="18"/>
        </w:rPr>
        <w:t>crises fonctionnelles/dissociatives » (CFD)</w:t>
      </w:r>
      <w:r w:rsidRPr="00E9240E">
        <w:rPr>
          <w:rFonts w:ascii="Segoe UI Semilight" w:hAnsi="Segoe UI Semilight" w:cs="Segoe UI Semilight"/>
          <w:sz w:val="18"/>
          <w:szCs w:val="18"/>
        </w:rPr>
        <w:t xml:space="preserve">. En l'absence de biomarqueur spécifique de </w:t>
      </w:r>
      <w:proofErr w:type="spellStart"/>
      <w:r w:rsidRPr="00E9240E">
        <w:rPr>
          <w:rFonts w:ascii="Segoe UI Semilight" w:hAnsi="Segoe UI Semilight" w:cs="Segoe UI Semilight"/>
          <w:sz w:val="18"/>
          <w:szCs w:val="18"/>
        </w:rPr>
        <w:t>neuropathogenèse</w:t>
      </w:r>
      <w:proofErr w:type="spellEnd"/>
      <w:r w:rsidRPr="00E9240E">
        <w:rPr>
          <w:rFonts w:ascii="Segoe UI Semilight" w:hAnsi="Segoe UI Semilight" w:cs="Segoe UI Semilight"/>
          <w:sz w:val="18"/>
          <w:szCs w:val="18"/>
        </w:rPr>
        <w:t>, les CFD doivent être définies cliniquement, sur la base des vécus subjectifs rapportés et des phénomènes cognitifs, autonomes et comportementaux.</w:t>
      </w:r>
    </w:p>
    <w:p w14:paraId="67CF9BAC" w14:textId="5625B530" w:rsidR="00FF1392" w:rsidRPr="00E9240E" w:rsidRDefault="00000000">
      <w:pPr>
        <w:spacing w:after="200" w:line="276" w:lineRule="auto"/>
        <w:jc w:val="both"/>
        <w:rPr>
          <w:rFonts w:ascii="Segoe UI Semilight" w:hAnsi="Segoe UI Semilight" w:cs="Segoe UI Semilight"/>
          <w:sz w:val="18"/>
          <w:szCs w:val="18"/>
        </w:rPr>
      </w:pPr>
      <w:r w:rsidRPr="00E9240E">
        <w:rPr>
          <w:rFonts w:ascii="Segoe UI Semilight" w:hAnsi="Segoe UI Semilight" w:cs="Segoe UI Semilight"/>
          <w:sz w:val="18"/>
          <w:szCs w:val="18"/>
        </w:rPr>
        <w:t>Les traditions nosographiques diffèrent selon les systèmes de classification internationaux : le DSM-5 classe ces crises parmi les troubles de conversion (trouble à symptomatologie neurologique fonctionnelle), tandis que la CIM-11 les classe parmi les sous-types du trouble dissociatif à symptomatologie neurologique. La Ligue Internationale Contre l'Épilepsie (</w:t>
      </w:r>
      <w:r w:rsidR="00E00301" w:rsidRPr="00E9240E">
        <w:rPr>
          <w:rFonts w:ascii="Segoe UI Semilight" w:hAnsi="Segoe UI Semilight" w:cs="Segoe UI Semilight"/>
          <w:sz w:val="18"/>
          <w:szCs w:val="18"/>
        </w:rPr>
        <w:t>ILAE</w:t>
      </w:r>
      <w:r w:rsidRPr="00E9240E">
        <w:rPr>
          <w:rFonts w:ascii="Segoe UI Semilight" w:hAnsi="Segoe UI Semilight" w:cs="Segoe UI Semilight"/>
          <w:sz w:val="18"/>
          <w:szCs w:val="18"/>
        </w:rPr>
        <w:t>) a abandonné le terme « pseudo-crise » il y a plus de dix ans au profit du terme CNEP.</w:t>
      </w:r>
    </w:p>
    <w:p w14:paraId="229404D4" w14:textId="77777777" w:rsidR="00FF1392" w:rsidRPr="00E9240E" w:rsidRDefault="00000000">
      <w:pPr>
        <w:spacing w:after="200" w:line="276" w:lineRule="auto"/>
        <w:jc w:val="both"/>
        <w:rPr>
          <w:rFonts w:ascii="Segoe UI Semilight" w:hAnsi="Segoe UI Semilight" w:cs="Segoe UI Semilight"/>
          <w:sz w:val="18"/>
          <w:szCs w:val="18"/>
        </w:rPr>
      </w:pPr>
      <w:r w:rsidRPr="00E9240E">
        <w:rPr>
          <w:rFonts w:ascii="Segoe UI Semilight" w:hAnsi="Segoe UI Semilight" w:cs="Segoe UI Semilight"/>
          <w:sz w:val="18"/>
          <w:szCs w:val="18"/>
        </w:rPr>
        <w:t>De nombreuses enquêtes internationales et revues de la littérature ont examiné cette question terminologique au cours de la dernière décennie, soulignant l'importance d'un terme consensuel, universel et intégratif. Cet article présente successivement les critiques adressées au terme CNEP, le processus d'élaboration de la proposition, puis la nouvelle terminologie retenue avec ses avantages et inconvénients.</w:t>
      </w:r>
    </w:p>
    <w:p w14:paraId="238A0FB6" w14:textId="0A4AF438" w:rsidR="00FF1392" w:rsidRPr="00BD1FF1" w:rsidRDefault="00000000" w:rsidP="00E00301">
      <w:pPr>
        <w:pStyle w:val="Citationintense"/>
        <w:rPr>
          <w:rFonts w:ascii="Segoe UI Semilight" w:hAnsi="Segoe UI Semilight" w:cs="Segoe UI Semilight"/>
          <w:b/>
          <w:bCs/>
        </w:rPr>
      </w:pPr>
      <w:r w:rsidRPr="00BD1FF1">
        <w:rPr>
          <w:rFonts w:ascii="Segoe UI Semilight" w:hAnsi="Segoe UI Semilight" w:cs="Segoe UI Semilight"/>
          <w:b/>
          <w:bCs/>
        </w:rPr>
        <w:t>Définition</w:t>
      </w:r>
    </w:p>
    <w:p w14:paraId="028972AB" w14:textId="77777777" w:rsidR="00FF1392" w:rsidRPr="00E9240E" w:rsidRDefault="00000000">
      <w:pPr>
        <w:spacing w:after="200" w:line="276" w:lineRule="auto"/>
        <w:jc w:val="both"/>
        <w:rPr>
          <w:rFonts w:ascii="Segoe UI Semilight" w:hAnsi="Segoe UI Semilight" w:cs="Segoe UI Semilight"/>
          <w:sz w:val="18"/>
          <w:szCs w:val="18"/>
        </w:rPr>
      </w:pPr>
      <w:r w:rsidRPr="00E9240E">
        <w:rPr>
          <w:rFonts w:ascii="Segoe UI Semilight" w:hAnsi="Segoe UI Semilight" w:cs="Segoe UI Semilight"/>
          <w:sz w:val="18"/>
          <w:szCs w:val="18"/>
        </w:rPr>
        <w:t>Les CFD sont des paroxysmes associant altération de la conscience, perturbation de la perception et réduction du contrôle comportemental, survenant généralement dans un contexte d'activation émotionnelle/physiologique. La sémiologie est habituellement stable dans le temps mais peut évoluer selon les expériences individuelles et les influences environnementales.</w:t>
      </w:r>
    </w:p>
    <w:p w14:paraId="6E00AA6A" w14:textId="77777777" w:rsidR="00FF1392" w:rsidRPr="00E9240E" w:rsidRDefault="00000000">
      <w:pPr>
        <w:spacing w:after="200" w:line="276" w:lineRule="auto"/>
        <w:jc w:val="both"/>
        <w:rPr>
          <w:rFonts w:ascii="Segoe UI Semilight" w:hAnsi="Segoe UI Semilight" w:cs="Segoe UI Semilight"/>
          <w:sz w:val="18"/>
          <w:szCs w:val="18"/>
        </w:rPr>
      </w:pPr>
      <w:r w:rsidRPr="00E9240E">
        <w:rPr>
          <w:rFonts w:ascii="Segoe UI Semilight" w:hAnsi="Segoe UI Semilight" w:cs="Segoe UI Semilight"/>
          <w:sz w:val="18"/>
          <w:szCs w:val="18"/>
        </w:rPr>
        <w:t xml:space="preserve">Sur le plan subjectif et cognitif : distorsions de la conscience perceptive, réduction de la flexibilité cognitive et du contrôle de soi, pouvant s'associer à une sensation de déconnexion, une déréalisation, une dépersonnalisation, une panique, un blocage ou un ralentissement mental, ou une accélération des pensées. L'altération de conscience </w:t>
      </w:r>
      <w:proofErr w:type="spellStart"/>
      <w:r w:rsidRPr="00E9240E">
        <w:rPr>
          <w:rFonts w:ascii="Segoe UI Semilight" w:hAnsi="Segoe UI Semilight" w:cs="Segoe UI Semilight"/>
          <w:sz w:val="18"/>
          <w:szCs w:val="18"/>
        </w:rPr>
        <w:t>ictale</w:t>
      </w:r>
      <w:proofErr w:type="spellEnd"/>
      <w:r w:rsidRPr="00E9240E">
        <w:rPr>
          <w:rFonts w:ascii="Segoe UI Semilight" w:hAnsi="Segoe UI Semilight" w:cs="Segoe UI Semilight"/>
          <w:sz w:val="18"/>
          <w:szCs w:val="18"/>
        </w:rPr>
        <w:t xml:space="preserve"> est fréquente ; une amnésie post-</w:t>
      </w:r>
      <w:proofErr w:type="spellStart"/>
      <w:r w:rsidRPr="00E9240E">
        <w:rPr>
          <w:rFonts w:ascii="Segoe UI Semilight" w:hAnsi="Segoe UI Semilight" w:cs="Segoe UI Semilight"/>
          <w:sz w:val="18"/>
          <w:szCs w:val="18"/>
        </w:rPr>
        <w:t>ictale</w:t>
      </w:r>
      <w:proofErr w:type="spellEnd"/>
      <w:r w:rsidRPr="00E9240E">
        <w:rPr>
          <w:rFonts w:ascii="Segoe UI Semilight" w:hAnsi="Segoe UI Semilight" w:cs="Segoe UI Semilight"/>
          <w:sz w:val="18"/>
          <w:szCs w:val="18"/>
        </w:rPr>
        <w:t xml:space="preserve"> partielle ou complète est habituelle, y compris en cas de réactivité partielle conservée pendant la crise.</w:t>
      </w:r>
    </w:p>
    <w:p w14:paraId="2A96895E" w14:textId="5FC4FD25" w:rsidR="00FF1392" w:rsidRPr="00E9240E" w:rsidRDefault="00000000" w:rsidP="00074950">
      <w:pPr>
        <w:spacing w:after="200" w:line="276" w:lineRule="auto"/>
        <w:jc w:val="both"/>
        <w:rPr>
          <w:rFonts w:ascii="Segoe UI Semilight" w:hAnsi="Segoe UI Semilight" w:cs="Segoe UI Semilight"/>
          <w:sz w:val="18"/>
          <w:szCs w:val="18"/>
        </w:rPr>
      </w:pPr>
      <w:r w:rsidRPr="00E9240E">
        <w:rPr>
          <w:rFonts w:ascii="Segoe UI Semilight" w:hAnsi="Segoe UI Semilight" w:cs="Segoe UI Semilight"/>
          <w:sz w:val="18"/>
          <w:szCs w:val="18"/>
        </w:rPr>
        <w:t xml:space="preserve">Des symptômes autonomes sont fréquents (sensations vertigineuses, paresthésies, palpitations), avec activation autonome objective dans la plupart des cas. Les manifestations comportementales sont hétérogènes, allant de tableaux akinétiques à hyperkinétiques, avec réactivité variable. </w:t>
      </w:r>
      <w:r w:rsidR="00074950" w:rsidRPr="00E9240E">
        <w:rPr>
          <w:rFonts w:ascii="Segoe UI Semilight" w:hAnsi="Segoe UI Semilight" w:cs="Segoe UI Semilight"/>
          <w:sz w:val="18"/>
          <w:szCs w:val="18"/>
        </w:rPr>
        <w:t>Les mouvements peuvent correspondre à des schémas comportementaux innés (tels que l'immobilité tonique ou des mouvements de lutte désordonnés [</w:t>
      </w:r>
      <w:r w:rsidR="00074950" w:rsidRPr="00E9240E">
        <w:rPr>
          <w:rFonts w:ascii="Segoe UI Semilight" w:hAnsi="Segoe UI Semilight" w:cs="Segoe UI Semilight"/>
          <w:i/>
          <w:iCs/>
          <w:sz w:val="18"/>
          <w:szCs w:val="18"/>
        </w:rPr>
        <w:t>thrashing</w:t>
      </w:r>
      <w:r w:rsidR="00074950" w:rsidRPr="00E9240E">
        <w:rPr>
          <w:rFonts w:ascii="Segoe UI Semilight" w:hAnsi="Segoe UI Semilight" w:cs="Segoe UI Semilight"/>
          <w:sz w:val="18"/>
          <w:szCs w:val="18"/>
        </w:rPr>
        <w:t xml:space="preserve">]) ou à des expressions de détresse ayant une signification culturelle ou individuelle. Le comportement est vécu comme involontaire, bien qu'il puisse exister des signes de contrôle moteur résiduel. Les réflexes de protection (réflexe cornéen </w:t>
      </w:r>
      <w:r w:rsidR="00074950" w:rsidRPr="00E9240E">
        <w:rPr>
          <w:rFonts w:ascii="Segoe UI Semilight" w:hAnsi="Segoe UI Semilight" w:cs="Segoe UI Semilight"/>
          <w:sz w:val="18"/>
          <w:szCs w:val="18"/>
        </w:rPr>
        <w:lastRenderedPageBreak/>
        <w:t>et de clignement) sont généralement préservés, même lorsque le patient paraît par ailleurs non réactif aux stimulations externes.</w:t>
      </w:r>
    </w:p>
    <w:p w14:paraId="6C209212" w14:textId="77777777" w:rsidR="00FF1392" w:rsidRPr="00E9240E" w:rsidRDefault="00000000">
      <w:pPr>
        <w:spacing w:after="200" w:line="276" w:lineRule="auto"/>
        <w:jc w:val="both"/>
        <w:rPr>
          <w:rFonts w:ascii="Segoe UI Semilight" w:hAnsi="Segoe UI Semilight" w:cs="Segoe UI Semilight"/>
          <w:sz w:val="18"/>
          <w:szCs w:val="18"/>
        </w:rPr>
      </w:pPr>
      <w:r w:rsidRPr="00E9240E">
        <w:rPr>
          <w:rFonts w:ascii="Segoe UI Semilight" w:hAnsi="Segoe UI Semilight" w:cs="Segoe UI Semilight"/>
          <w:sz w:val="18"/>
          <w:szCs w:val="18"/>
        </w:rPr>
        <w:t xml:space="preserve">Les CFD peuvent survenir de façon isolée ou s'inscrire dans un trouble caractérisé par une détresse ou </w:t>
      </w:r>
      <w:proofErr w:type="gramStart"/>
      <w:r w:rsidRPr="00E9240E">
        <w:rPr>
          <w:rFonts w:ascii="Segoe UI Semilight" w:hAnsi="Segoe UI Semilight" w:cs="Segoe UI Semilight"/>
          <w:sz w:val="18"/>
          <w:szCs w:val="18"/>
        </w:rPr>
        <w:t>un handicap liés</w:t>
      </w:r>
      <w:proofErr w:type="gramEnd"/>
      <w:r w:rsidRPr="00E9240E">
        <w:rPr>
          <w:rFonts w:ascii="Segoe UI Semilight" w:hAnsi="Segoe UI Semilight" w:cs="Segoe UI Semilight"/>
          <w:sz w:val="18"/>
          <w:szCs w:val="18"/>
        </w:rPr>
        <w:t xml:space="preserve"> à leur récurrence ou à l'anxiété anticipatoire. Elles peuvent constituer un diagnostic isolé ou s'intégrer dans un tableau neuropsychiatrique plus large (trouble neurologique fonctionnel </w:t>
      </w:r>
      <w:proofErr w:type="spellStart"/>
      <w:r w:rsidRPr="00E9240E">
        <w:rPr>
          <w:rFonts w:ascii="Segoe UI Semilight" w:hAnsi="Segoe UI Semilight" w:cs="Segoe UI Semilight"/>
          <w:sz w:val="18"/>
          <w:szCs w:val="18"/>
        </w:rPr>
        <w:t>polysymptomatique</w:t>
      </w:r>
      <w:proofErr w:type="spellEnd"/>
      <w:r w:rsidRPr="00E9240E">
        <w:rPr>
          <w:rFonts w:ascii="Segoe UI Semilight" w:hAnsi="Segoe UI Semilight" w:cs="Segoe UI Semilight"/>
          <w:sz w:val="18"/>
          <w:szCs w:val="18"/>
        </w:rPr>
        <w:t>, trouble de stress post-traumatique complexe, autres troubles dissociatifs). Le risque de diagnostics médicaux associés (épilepsie, céphalées) est accru, en lien avec des comorbidités réelles mais aussi avec un risque d'erreur diagnostique du fait du chevauchement symptomatique.</w:t>
      </w:r>
    </w:p>
    <w:p w14:paraId="38909BD9" w14:textId="77777777" w:rsidR="00FF1392" w:rsidRPr="00E9240E" w:rsidRDefault="00000000">
      <w:pPr>
        <w:spacing w:after="200" w:line="276" w:lineRule="auto"/>
        <w:jc w:val="both"/>
        <w:rPr>
          <w:rFonts w:ascii="Segoe UI Semilight" w:hAnsi="Segoe UI Semilight" w:cs="Segoe UI Semilight"/>
          <w:sz w:val="18"/>
          <w:szCs w:val="18"/>
        </w:rPr>
      </w:pPr>
      <w:r w:rsidRPr="00E9240E">
        <w:rPr>
          <w:rFonts w:ascii="Segoe UI Semilight" w:hAnsi="Segoe UI Semilight" w:cs="Segoe UI Semilight"/>
          <w:sz w:val="18"/>
          <w:szCs w:val="18"/>
        </w:rPr>
        <w:t>Les mécanismes et corrélats neuronaux des CFD restent en cours d'exploration ; les modèles psychodynamiques classiques (</w:t>
      </w:r>
      <w:proofErr w:type="spellStart"/>
      <w:r w:rsidRPr="00E9240E">
        <w:rPr>
          <w:rFonts w:ascii="Segoe UI Semilight" w:hAnsi="Segoe UI Semilight" w:cs="Segoe UI Semilight"/>
          <w:sz w:val="18"/>
          <w:szCs w:val="18"/>
        </w:rPr>
        <w:t>psychogénicité</w:t>
      </w:r>
      <w:proofErr w:type="spellEnd"/>
      <w:r w:rsidRPr="00E9240E">
        <w:rPr>
          <w:rFonts w:ascii="Segoe UI Semilight" w:hAnsi="Segoe UI Semilight" w:cs="Segoe UI Semilight"/>
          <w:sz w:val="18"/>
          <w:szCs w:val="18"/>
        </w:rPr>
        <w:t>, conversion) ont évolué vers un cadre biopsychosocial intégrant dysfonctionnement des réseaux cérébraux et déterminants socioculturels.</w:t>
      </w:r>
    </w:p>
    <w:p w14:paraId="1EB7AF79" w14:textId="77777777" w:rsidR="00FF1392" w:rsidRPr="00E9240E" w:rsidRDefault="00000000">
      <w:pPr>
        <w:spacing w:after="200" w:line="276" w:lineRule="auto"/>
        <w:jc w:val="both"/>
        <w:rPr>
          <w:rFonts w:ascii="Segoe UI Semilight" w:hAnsi="Segoe UI Semilight" w:cs="Segoe UI Semilight"/>
          <w:sz w:val="18"/>
          <w:szCs w:val="18"/>
        </w:rPr>
      </w:pPr>
      <w:r w:rsidRPr="00E9240E">
        <w:rPr>
          <w:rFonts w:ascii="Segoe UI Semilight" w:hAnsi="Segoe UI Semilight" w:cs="Segoe UI Semilight"/>
          <w:sz w:val="18"/>
          <w:szCs w:val="18"/>
        </w:rPr>
        <w:t xml:space="preserve">Bien que les CFD ne constituent pas un diagnostic d'exclusion, leur définition inclut une différenciation avec le trouble neurologique fonctionnel moteur paroxystique (absence de perturbation de conscience), les attaques de panique (conscience généralement préservée, sentiment subjectif de panique le plus souvent absent dans les CFD), les paroxysmes neurologiques tels que crises épileptiques, syncopes, migraines ou dyskinésies paroxystiques (profils sémiologiques et </w:t>
      </w:r>
      <w:proofErr w:type="spellStart"/>
      <w:r w:rsidRPr="00E9240E">
        <w:rPr>
          <w:rFonts w:ascii="Segoe UI Semilight" w:hAnsi="Segoe UI Semilight" w:cs="Segoe UI Semilight"/>
          <w:sz w:val="18"/>
          <w:szCs w:val="18"/>
        </w:rPr>
        <w:t>neurophysiopathologiques</w:t>
      </w:r>
      <w:proofErr w:type="spellEnd"/>
      <w:r w:rsidRPr="00E9240E">
        <w:rPr>
          <w:rFonts w:ascii="Segoe UI Semilight" w:hAnsi="Segoe UI Semilight" w:cs="Segoe UI Semilight"/>
          <w:sz w:val="18"/>
          <w:szCs w:val="18"/>
        </w:rPr>
        <w:t xml:space="preserve"> distincts), et la simulation, le comportement étant vécu comme involontaire dans les CFD.</w:t>
      </w:r>
    </w:p>
    <w:p w14:paraId="07D36E0E" w14:textId="77777777" w:rsidR="00FF1392" w:rsidRPr="00E9240E" w:rsidRDefault="00000000" w:rsidP="00E9240E">
      <w:pPr>
        <w:pStyle w:val="1"/>
        <w:rPr>
          <w:rFonts w:ascii="Segoe UI Semilight" w:hAnsi="Segoe UI Semilight" w:cs="Segoe UI Semilight"/>
          <w:sz w:val="28"/>
          <w:szCs w:val="28"/>
        </w:rPr>
      </w:pPr>
      <w:r w:rsidRPr="00E9240E">
        <w:rPr>
          <w:rFonts w:ascii="Segoe UI Semilight" w:hAnsi="Segoe UI Semilight" w:cs="Segoe UI Semilight"/>
          <w:sz w:val="28"/>
          <w:szCs w:val="28"/>
        </w:rPr>
        <w:t>2. Critiques du terme « CNEP »</w:t>
      </w:r>
    </w:p>
    <w:p w14:paraId="5531D24C" w14:textId="77777777" w:rsidR="00FF1392" w:rsidRPr="00E9240E" w:rsidRDefault="00000000">
      <w:pPr>
        <w:spacing w:after="200" w:line="276" w:lineRule="auto"/>
        <w:jc w:val="both"/>
        <w:rPr>
          <w:rFonts w:ascii="Segoe UI Semilight" w:hAnsi="Segoe UI Semilight" w:cs="Segoe UI Semilight"/>
          <w:sz w:val="18"/>
          <w:szCs w:val="18"/>
        </w:rPr>
      </w:pPr>
      <w:r w:rsidRPr="00E9240E">
        <w:rPr>
          <w:rFonts w:ascii="Segoe UI Semilight" w:hAnsi="Segoe UI Semilight" w:cs="Segoe UI Semilight"/>
          <w:sz w:val="18"/>
          <w:szCs w:val="18"/>
        </w:rPr>
        <w:t>Les deux composantes du terme actuel ont suscité le plus de critiques. Le terme « psychogène » est perçu comme péjoratif par la majorité des patients : compris comme purement psychologique et dénué de base organique « réelle », il peut être vécu comme accusatoire, invalidant et stigmatisant, générant un sentiment de rejet, un obstacle à l'adhésion au diagnostic et au traitement, ainsi qu'un moindre soutien de l'entourage et des institutions de soin. Pour les cliniciens, ce terme renvoie à un modèle réducteur de conversion psychosomatique, ignorant l'interaction complexe entre dysfonctionnement autonome, neuroendocrinien et des réseaux cérébraux, et ne reflète pas le vécu des patients pour lesquels des facteurs tels que la douleur, la fatigue ou l'hyperventilation jouent un rôle.</w:t>
      </w:r>
    </w:p>
    <w:p w14:paraId="735D84D3" w14:textId="77777777" w:rsidR="00FF1392" w:rsidRPr="00E9240E" w:rsidRDefault="00000000">
      <w:pPr>
        <w:spacing w:after="200" w:line="276" w:lineRule="auto"/>
        <w:jc w:val="both"/>
        <w:rPr>
          <w:rFonts w:ascii="Segoe UI Semilight" w:hAnsi="Segoe UI Semilight" w:cs="Segoe UI Semilight"/>
          <w:sz w:val="18"/>
          <w:szCs w:val="18"/>
        </w:rPr>
      </w:pPr>
      <w:r w:rsidRPr="00E9240E">
        <w:rPr>
          <w:rFonts w:ascii="Segoe UI Semilight" w:hAnsi="Segoe UI Semilight" w:cs="Segoe UI Semilight"/>
          <w:sz w:val="18"/>
          <w:szCs w:val="18"/>
        </w:rPr>
        <w:t>Le second terme, « non épileptique », constitue une définition négative qui ne caractérise pas le trouble en tant que tel, alors que les bonnes pratiques actuelles privilégient une approche diagnostique fondée sur le phénotype clinique plutôt que sur la seule exclusion.</w:t>
      </w:r>
    </w:p>
    <w:p w14:paraId="65BD7CF9" w14:textId="77777777" w:rsidR="00FF1392" w:rsidRPr="00E9240E" w:rsidRDefault="00000000">
      <w:pPr>
        <w:spacing w:after="200" w:line="276" w:lineRule="auto"/>
        <w:jc w:val="both"/>
        <w:rPr>
          <w:rFonts w:ascii="Segoe UI Semilight" w:hAnsi="Segoe UI Semilight" w:cs="Segoe UI Semilight"/>
          <w:sz w:val="18"/>
          <w:szCs w:val="18"/>
        </w:rPr>
      </w:pPr>
      <w:r w:rsidRPr="00E9240E">
        <w:rPr>
          <w:rFonts w:ascii="Segoe UI Semilight" w:hAnsi="Segoe UI Semilight" w:cs="Segoe UI Semilight"/>
          <w:sz w:val="18"/>
          <w:szCs w:val="18"/>
        </w:rPr>
        <w:t>L'usage du terme « crise » (</w:t>
      </w:r>
      <w:proofErr w:type="spellStart"/>
      <w:r w:rsidRPr="00E9240E">
        <w:rPr>
          <w:rFonts w:ascii="Segoe UI Semilight" w:hAnsi="Segoe UI Semilight" w:cs="Segoe UI Semilight"/>
          <w:sz w:val="18"/>
          <w:szCs w:val="18"/>
        </w:rPr>
        <w:t>seizure</w:t>
      </w:r>
      <w:proofErr w:type="spellEnd"/>
      <w:r w:rsidRPr="00E9240E">
        <w:rPr>
          <w:rFonts w:ascii="Segoe UI Semilight" w:hAnsi="Segoe UI Semilight" w:cs="Segoe UI Semilight"/>
          <w:sz w:val="18"/>
          <w:szCs w:val="18"/>
        </w:rPr>
        <w:t>) a également été discuté, certains épileptologues estimant qu'il devrait être réservé aux crises épileptiques ; toutefois, son usage large et historique pour d'autres événements paroxystiques rend cette restriction peu réaliste au regard des usages actuels.</w:t>
      </w:r>
    </w:p>
    <w:p w14:paraId="31705312" w14:textId="77777777" w:rsidR="00FF1392" w:rsidRPr="00E9240E" w:rsidRDefault="00000000" w:rsidP="00E9240E">
      <w:pPr>
        <w:pStyle w:val="1"/>
        <w:rPr>
          <w:rFonts w:ascii="Segoe UI Semilight" w:hAnsi="Segoe UI Semilight" w:cs="Segoe UI Semilight"/>
          <w:sz w:val="28"/>
          <w:szCs w:val="28"/>
        </w:rPr>
      </w:pPr>
      <w:r w:rsidRPr="00E9240E">
        <w:rPr>
          <w:rFonts w:ascii="Segoe UI Semilight" w:hAnsi="Segoe UI Semilight" w:cs="Segoe UI Semilight"/>
          <w:sz w:val="28"/>
          <w:szCs w:val="28"/>
        </w:rPr>
        <w:t>3. Processus décisionnel relatif à la nomenclature</w:t>
      </w:r>
    </w:p>
    <w:p w14:paraId="3D2FA19F" w14:textId="77777777" w:rsidR="00FF1392" w:rsidRPr="00E9240E" w:rsidRDefault="00000000" w:rsidP="00E9240E">
      <w:pPr>
        <w:pStyle w:val="2"/>
        <w:rPr>
          <w:rFonts w:ascii="Segoe UI Semilight" w:hAnsi="Segoe UI Semilight" w:cs="Segoe UI Semilight"/>
          <w:sz w:val="24"/>
          <w:szCs w:val="24"/>
        </w:rPr>
      </w:pPr>
      <w:r w:rsidRPr="00E9240E">
        <w:rPr>
          <w:rFonts w:ascii="Segoe UI Semilight" w:hAnsi="Segoe UI Semilight" w:cs="Segoe UI Semilight"/>
          <w:sz w:val="24"/>
          <w:szCs w:val="24"/>
        </w:rPr>
        <w:t>3.1 Mandat pour l'élaboration d'une nouvelle terminologie</w:t>
      </w:r>
    </w:p>
    <w:p w14:paraId="6758208F" w14:textId="7E5DC00A" w:rsidR="00FF1392" w:rsidRPr="00E9240E" w:rsidRDefault="00000000">
      <w:pPr>
        <w:spacing w:after="200" w:line="276" w:lineRule="auto"/>
        <w:jc w:val="both"/>
        <w:rPr>
          <w:rFonts w:ascii="Segoe UI Semilight" w:hAnsi="Segoe UI Semilight" w:cs="Segoe UI Semilight"/>
          <w:sz w:val="18"/>
          <w:szCs w:val="18"/>
        </w:rPr>
      </w:pPr>
      <w:r w:rsidRPr="00E9240E">
        <w:rPr>
          <w:rFonts w:ascii="Segoe UI Semilight" w:hAnsi="Segoe UI Semilight" w:cs="Segoe UI Semilight"/>
          <w:sz w:val="18"/>
          <w:szCs w:val="18"/>
        </w:rPr>
        <w:t xml:space="preserve">Les discussions ont débuté au sein du groupe de travail </w:t>
      </w:r>
      <w:r w:rsidR="00E00301" w:rsidRPr="00E9240E">
        <w:rPr>
          <w:rFonts w:ascii="Segoe UI Semilight" w:hAnsi="Segoe UI Semilight" w:cs="Segoe UI Semilight"/>
          <w:sz w:val="18"/>
          <w:szCs w:val="18"/>
        </w:rPr>
        <w:t>ILAE</w:t>
      </w:r>
      <w:r w:rsidRPr="00E9240E">
        <w:rPr>
          <w:rFonts w:ascii="Segoe UI Semilight" w:hAnsi="Segoe UI Semilight" w:cs="Segoe UI Semilight"/>
          <w:sz w:val="18"/>
          <w:szCs w:val="18"/>
        </w:rPr>
        <w:t xml:space="preserve">-CNEP 2017–2021, avec l'organisation de deux ateliers n'ayant pas permis d'aboutir à un consensus. À sa constitution en 2021, la Commission de Psychiatrie de la </w:t>
      </w:r>
      <w:r w:rsidR="00E00301" w:rsidRPr="00E9240E">
        <w:rPr>
          <w:rFonts w:ascii="Segoe UI Semilight" w:hAnsi="Segoe UI Semilight" w:cs="Segoe UI Semilight"/>
          <w:sz w:val="18"/>
          <w:szCs w:val="18"/>
        </w:rPr>
        <w:t>ILAE</w:t>
      </w:r>
      <w:r w:rsidRPr="00E9240E">
        <w:rPr>
          <w:rFonts w:ascii="Segoe UI Semilight" w:hAnsi="Segoe UI Semilight" w:cs="Segoe UI Semilight"/>
          <w:sz w:val="18"/>
          <w:szCs w:val="18"/>
        </w:rPr>
        <w:t xml:space="preserve"> a mandaté le nouveau groupe de travail (2021–2025) pour finaliser cette négociation terminologique. Le groupe, représentatif de l'ensemble des continents, a tenu compte de la difficulté intrinsèque à tout changement de nomenclature et de l'importance d'aligner la proposition sur les systèmes de classification internationaux, une terminologie excluant « fonctionnel » (DSM) ou « dissociatif » (CIM) pouvant poser des difficultés pratiques selon la nosologie utilisée localement.</w:t>
      </w:r>
    </w:p>
    <w:p w14:paraId="3AE5F8F3" w14:textId="77777777" w:rsidR="00FF1392" w:rsidRPr="00E9240E" w:rsidRDefault="00000000" w:rsidP="00E9240E">
      <w:pPr>
        <w:pStyle w:val="2"/>
        <w:rPr>
          <w:rFonts w:ascii="Segoe UI Semilight" w:hAnsi="Segoe UI Semilight" w:cs="Segoe UI Semilight"/>
          <w:sz w:val="24"/>
          <w:szCs w:val="24"/>
        </w:rPr>
      </w:pPr>
      <w:r w:rsidRPr="00E9240E">
        <w:rPr>
          <w:rFonts w:ascii="Segoe UI Semilight" w:hAnsi="Segoe UI Semilight" w:cs="Segoe UI Semilight"/>
          <w:sz w:val="24"/>
          <w:szCs w:val="24"/>
        </w:rPr>
        <w:t>3.2 Discussion avec les parties prenantes internationales</w:t>
      </w:r>
    </w:p>
    <w:p w14:paraId="238C4471" w14:textId="2310E970" w:rsidR="00FF1392" w:rsidRPr="00E9240E" w:rsidRDefault="00000000" w:rsidP="001C6930">
      <w:pPr>
        <w:spacing w:after="200" w:line="276" w:lineRule="auto"/>
        <w:jc w:val="both"/>
        <w:rPr>
          <w:rFonts w:ascii="Segoe UI Semilight" w:hAnsi="Segoe UI Semilight" w:cs="Segoe UI Semilight"/>
          <w:sz w:val="18"/>
          <w:szCs w:val="18"/>
        </w:rPr>
      </w:pPr>
      <w:r w:rsidRPr="00E9240E">
        <w:rPr>
          <w:rFonts w:ascii="Segoe UI Semilight" w:hAnsi="Segoe UI Semilight" w:cs="Segoe UI Semilight"/>
          <w:sz w:val="18"/>
          <w:szCs w:val="18"/>
        </w:rPr>
        <w:t xml:space="preserve">Deux ateliers pluridisciplinaires tenus en décembre 2020 ont réuni experts par expérience, cliniciens et chercheurs, incluant des représentants de la </w:t>
      </w:r>
      <w:proofErr w:type="spellStart"/>
      <w:r w:rsidRPr="00E9240E">
        <w:rPr>
          <w:rFonts w:ascii="Segoe UI Semilight" w:hAnsi="Segoe UI Semilight" w:cs="Segoe UI Semilight"/>
          <w:sz w:val="18"/>
          <w:szCs w:val="18"/>
        </w:rPr>
        <w:t>Functional</w:t>
      </w:r>
      <w:proofErr w:type="spellEnd"/>
      <w:r w:rsidRPr="00E9240E">
        <w:rPr>
          <w:rFonts w:ascii="Segoe UI Semilight" w:hAnsi="Segoe UI Semilight" w:cs="Segoe UI Semilight"/>
          <w:sz w:val="18"/>
          <w:szCs w:val="18"/>
        </w:rPr>
        <w:t xml:space="preserve"> </w:t>
      </w:r>
      <w:proofErr w:type="spellStart"/>
      <w:r w:rsidRPr="00E9240E">
        <w:rPr>
          <w:rFonts w:ascii="Segoe UI Semilight" w:hAnsi="Segoe UI Semilight" w:cs="Segoe UI Semilight"/>
          <w:sz w:val="18"/>
          <w:szCs w:val="18"/>
        </w:rPr>
        <w:t>Neurological</w:t>
      </w:r>
      <w:proofErr w:type="spellEnd"/>
      <w:r w:rsidRPr="00E9240E">
        <w:rPr>
          <w:rFonts w:ascii="Segoe UI Semilight" w:hAnsi="Segoe UI Semilight" w:cs="Segoe UI Semilight"/>
          <w:sz w:val="18"/>
          <w:szCs w:val="18"/>
        </w:rPr>
        <w:t xml:space="preserve"> </w:t>
      </w:r>
      <w:proofErr w:type="spellStart"/>
      <w:r w:rsidRPr="00E9240E">
        <w:rPr>
          <w:rFonts w:ascii="Segoe UI Semilight" w:hAnsi="Segoe UI Semilight" w:cs="Segoe UI Semilight"/>
          <w:sz w:val="18"/>
          <w:szCs w:val="18"/>
        </w:rPr>
        <w:t>Disorders</w:t>
      </w:r>
      <w:proofErr w:type="spellEnd"/>
      <w:r w:rsidRPr="00E9240E">
        <w:rPr>
          <w:rFonts w:ascii="Segoe UI Semilight" w:hAnsi="Segoe UI Semilight" w:cs="Segoe UI Semilight"/>
          <w:sz w:val="18"/>
          <w:szCs w:val="18"/>
        </w:rPr>
        <w:t xml:space="preserve"> Society, de l'association de patients FND Hope International et de l'American </w:t>
      </w:r>
      <w:proofErr w:type="spellStart"/>
      <w:r w:rsidRPr="00E9240E">
        <w:rPr>
          <w:rFonts w:ascii="Segoe UI Semilight" w:hAnsi="Segoe UI Semilight" w:cs="Segoe UI Semilight"/>
          <w:sz w:val="18"/>
          <w:szCs w:val="18"/>
        </w:rPr>
        <w:t>Epilepsy</w:t>
      </w:r>
      <w:proofErr w:type="spellEnd"/>
      <w:r w:rsidRPr="00E9240E">
        <w:rPr>
          <w:rFonts w:ascii="Segoe UI Semilight" w:hAnsi="Segoe UI Semilight" w:cs="Segoe UI Semilight"/>
          <w:sz w:val="18"/>
          <w:szCs w:val="18"/>
        </w:rPr>
        <w:t xml:space="preserve"> Society, selon un modèle de « classe inversée » associant visionnage de vidéos </w:t>
      </w:r>
      <w:r w:rsidRPr="00E9240E">
        <w:rPr>
          <w:rFonts w:ascii="Segoe UI Semilight" w:hAnsi="Segoe UI Semilight" w:cs="Segoe UI Semilight"/>
          <w:sz w:val="18"/>
          <w:szCs w:val="18"/>
        </w:rPr>
        <w:lastRenderedPageBreak/>
        <w:t xml:space="preserve">et discussion modérée. Le premier atelier, réunissant 314 participants majoritairement d'Amérique du Nord et d'Europe (dont 17 % de patients), a exploré plusieurs perspectives disciplinaires ; le second, adossé au congrès annuel de l'American </w:t>
      </w:r>
      <w:proofErr w:type="spellStart"/>
      <w:r w:rsidRPr="00E9240E">
        <w:rPr>
          <w:rFonts w:ascii="Segoe UI Semilight" w:hAnsi="Segoe UI Semilight" w:cs="Segoe UI Semilight"/>
          <w:sz w:val="18"/>
          <w:szCs w:val="18"/>
        </w:rPr>
        <w:t>Epilepsy</w:t>
      </w:r>
      <w:proofErr w:type="spellEnd"/>
      <w:r w:rsidRPr="00E9240E">
        <w:rPr>
          <w:rFonts w:ascii="Segoe UI Semilight" w:hAnsi="Segoe UI Semilight" w:cs="Segoe UI Semilight"/>
          <w:sz w:val="18"/>
          <w:szCs w:val="18"/>
        </w:rPr>
        <w:t xml:space="preserve"> Society, a réuni différents professionnels. Les enquêtes post-ateliers ont identifié huit thématiques majeures (mécanismes, bénéfice thérapeutique, communication, stigmatisation, désaccords, obstacles aux soins, influence des </w:t>
      </w:r>
      <w:r w:rsidR="008A61D7" w:rsidRPr="00E9240E">
        <w:rPr>
          <w:rFonts w:ascii="Segoe UI Semilight" w:hAnsi="Segoe UI Semilight" w:cs="Segoe UI Semilight"/>
          <w:sz w:val="18"/>
          <w:szCs w:val="18"/>
        </w:rPr>
        <w:t>dénominations</w:t>
      </w:r>
      <w:r w:rsidRPr="00E9240E">
        <w:rPr>
          <w:rFonts w:ascii="Segoe UI Semilight" w:hAnsi="Segoe UI Semilight" w:cs="Segoe UI Semilight"/>
          <w:sz w:val="18"/>
          <w:szCs w:val="18"/>
        </w:rPr>
        <w:t>, prise en compte des perspectives patients/cliniciens) et ont montré une préférence pour les préfixes « fonctionnel » et « dissociatif » et le suffixe « crise », sans conclusion définitive sur un terme unique.</w:t>
      </w:r>
    </w:p>
    <w:p w14:paraId="572A6570" w14:textId="46393462" w:rsidR="00FF1392" w:rsidRPr="00E9240E" w:rsidRDefault="00000000" w:rsidP="00E9240E">
      <w:pPr>
        <w:pStyle w:val="2"/>
        <w:rPr>
          <w:rFonts w:ascii="Segoe UI Semilight" w:hAnsi="Segoe UI Semilight" w:cs="Segoe UI Semilight"/>
          <w:sz w:val="24"/>
          <w:szCs w:val="24"/>
        </w:rPr>
      </w:pPr>
      <w:r w:rsidRPr="00E9240E">
        <w:rPr>
          <w:rFonts w:ascii="Segoe UI Semilight" w:hAnsi="Segoe UI Semilight" w:cs="Segoe UI Semilight"/>
          <w:sz w:val="24"/>
          <w:szCs w:val="24"/>
        </w:rPr>
        <w:t xml:space="preserve">3.3 Poursuite des travaux au sein du groupe de travail </w:t>
      </w:r>
      <w:r w:rsidR="00E00301" w:rsidRPr="00E9240E">
        <w:rPr>
          <w:rFonts w:ascii="Segoe UI Semilight" w:hAnsi="Segoe UI Semilight" w:cs="Segoe UI Semilight"/>
          <w:sz w:val="24"/>
          <w:szCs w:val="24"/>
        </w:rPr>
        <w:t>ILAE</w:t>
      </w:r>
      <w:r w:rsidRPr="00E9240E">
        <w:rPr>
          <w:rFonts w:ascii="Segoe UI Semilight" w:hAnsi="Segoe UI Semilight" w:cs="Segoe UI Semilight"/>
          <w:sz w:val="24"/>
          <w:szCs w:val="24"/>
        </w:rPr>
        <w:t>-CFD</w:t>
      </w:r>
    </w:p>
    <w:p w14:paraId="108250FB" w14:textId="77777777" w:rsidR="00FF1392" w:rsidRPr="00E9240E" w:rsidRDefault="00000000" w:rsidP="00E9240E">
      <w:pPr>
        <w:pStyle w:val="3"/>
        <w:rPr>
          <w:rFonts w:ascii="Segoe UI Semilight" w:hAnsi="Segoe UI Semilight" w:cs="Segoe UI Semilight"/>
          <w:sz w:val="24"/>
          <w:szCs w:val="24"/>
        </w:rPr>
      </w:pPr>
      <w:r w:rsidRPr="00E9240E">
        <w:rPr>
          <w:rFonts w:ascii="Segoe UI Semilight" w:hAnsi="Segoe UI Semilight" w:cs="Segoe UI Semilight"/>
          <w:sz w:val="24"/>
          <w:szCs w:val="24"/>
        </w:rPr>
        <w:t>3.3.1 Aspects méthodologiques</w:t>
      </w:r>
    </w:p>
    <w:p w14:paraId="7269781C" w14:textId="5ADEFC70" w:rsidR="00FF1392" w:rsidRPr="00E9240E" w:rsidRDefault="0049029C" w:rsidP="0049029C">
      <w:pPr>
        <w:spacing w:after="200" w:line="276" w:lineRule="auto"/>
        <w:jc w:val="both"/>
        <w:rPr>
          <w:rFonts w:ascii="Segoe UI Semilight" w:hAnsi="Segoe UI Semilight" w:cs="Segoe UI Semilight"/>
          <w:sz w:val="18"/>
          <w:szCs w:val="18"/>
        </w:rPr>
      </w:pPr>
      <w:r w:rsidRPr="00E9240E">
        <w:rPr>
          <w:rFonts w:ascii="Segoe UI Semilight" w:hAnsi="Segoe UI Semilight" w:cs="Segoe UI Semilight"/>
          <w:sz w:val="18"/>
          <w:szCs w:val="18"/>
        </w:rPr>
        <w:t>Considérant qu'une nouvelle enquête ne permettrait probablement pas de dépasser les divergences existantes -une enquête internationale indépendante menée auprès de 1 003 médecins ayant notamment montré une préférence pour le terme « psychogène », suivi de « fonctionnel » - et écartant la méthode Delphi en raison de ses limites méthodologiques et de représentativité (notamment concernant la représentation des patients, des pays à faible revenu et des systèmes de classification CIM et DSM), le groupe de travail a privilégié une approche fondée sur l'expertise, comparable à celle utilisée dans d'autres domaines de la neurologie (tels que les troubles du mouvement ou la sclérose en plaques), débutant par une revue narrative de la littérature.</w:t>
      </w:r>
    </w:p>
    <w:p w14:paraId="5331BC96" w14:textId="77777777" w:rsidR="00FF1392" w:rsidRPr="00E9240E" w:rsidRDefault="00000000" w:rsidP="00E9240E">
      <w:pPr>
        <w:pStyle w:val="3"/>
        <w:rPr>
          <w:rFonts w:ascii="Segoe UI Semilight" w:hAnsi="Segoe UI Semilight" w:cs="Segoe UI Semilight"/>
          <w:sz w:val="24"/>
          <w:szCs w:val="24"/>
        </w:rPr>
      </w:pPr>
      <w:r w:rsidRPr="00E9240E">
        <w:rPr>
          <w:rFonts w:ascii="Segoe UI Semilight" w:hAnsi="Segoe UI Semilight" w:cs="Segoe UI Semilight"/>
          <w:sz w:val="24"/>
          <w:szCs w:val="24"/>
        </w:rPr>
        <w:t>3.3.2 Revue narrative de la littérature</w:t>
      </w:r>
    </w:p>
    <w:p w14:paraId="361CAE6B" w14:textId="7705DECD" w:rsidR="00FF1392" w:rsidRPr="00E9240E" w:rsidRDefault="00000000" w:rsidP="00E9240E">
      <w:pPr>
        <w:spacing w:after="200" w:line="276" w:lineRule="auto"/>
        <w:jc w:val="mediumKashida"/>
        <w:rPr>
          <w:rFonts w:ascii="Segoe UI Semilight" w:hAnsi="Segoe UI Semilight" w:cs="Segoe UI Semilight"/>
          <w:sz w:val="18"/>
          <w:szCs w:val="18"/>
        </w:rPr>
      </w:pPr>
      <w:r w:rsidRPr="00E9240E">
        <w:rPr>
          <w:rFonts w:ascii="Segoe UI Semilight" w:hAnsi="Segoe UI Semilight" w:cs="Segoe UI Semilight"/>
          <w:sz w:val="18"/>
          <w:szCs w:val="18"/>
        </w:rPr>
        <w:t>Une recherche MEDLINE menée en 2022 (mots-clés combinant crise fonctionnelle, crise dissociative, CNEP, crise</w:t>
      </w:r>
      <w:r w:rsidR="00E9240E" w:rsidRPr="00E9240E">
        <w:rPr>
          <w:rFonts w:ascii="Segoe UI Semilight" w:hAnsi="Segoe UI Semilight" w:cs="Segoe UI Semilight"/>
          <w:sz w:val="18"/>
          <w:szCs w:val="18"/>
        </w:rPr>
        <w:t xml:space="preserve"> </w:t>
      </w:r>
      <w:r w:rsidRPr="00E9240E">
        <w:rPr>
          <w:rFonts w:ascii="Segoe UI Semilight" w:hAnsi="Segoe UI Semilight" w:cs="Segoe UI Semilight"/>
          <w:sz w:val="18"/>
          <w:szCs w:val="18"/>
        </w:rPr>
        <w:t>psychogène, crise non épileptique, pseudo-crise, et terminologie/nomenclature/enquête/nom/classification, sans limite de date, articles en anglais uniquement) a identifié 226 résultats, dont 37 articles pertinents. Une recherche complémentaire par chaînage de citations menée en décembre 2023 a porté le total à 1212 références ; après élimination des doublons, 1102 articles ont été criblés, 111 retenus pour lecture intégrale, et 50 finalement inclus (19 études originales, 7 revues, 24 articles d'opinion/commentaire).</w:t>
      </w:r>
    </w:p>
    <w:p w14:paraId="055C163E" w14:textId="77777777" w:rsidR="00FF1392" w:rsidRPr="00E9240E" w:rsidRDefault="00000000" w:rsidP="00E9240E">
      <w:pPr>
        <w:pStyle w:val="3"/>
        <w:rPr>
          <w:rFonts w:ascii="Segoe UI Semilight" w:hAnsi="Segoe UI Semilight" w:cs="Segoe UI Semilight"/>
          <w:sz w:val="24"/>
          <w:szCs w:val="24"/>
        </w:rPr>
      </w:pPr>
      <w:r w:rsidRPr="00E9240E">
        <w:rPr>
          <w:rFonts w:ascii="Segoe UI Semilight" w:hAnsi="Segoe UI Semilight" w:cs="Segoe UI Semilight"/>
          <w:sz w:val="24"/>
          <w:szCs w:val="24"/>
        </w:rPr>
        <w:t>3.3.3 Discussions et votes</w:t>
      </w:r>
    </w:p>
    <w:p w14:paraId="38CDF40F" w14:textId="41544442" w:rsidR="00FF1392" w:rsidRPr="00E9240E" w:rsidRDefault="0049029C" w:rsidP="0049029C">
      <w:pPr>
        <w:spacing w:after="200" w:line="276" w:lineRule="auto"/>
        <w:jc w:val="both"/>
        <w:rPr>
          <w:rFonts w:ascii="Segoe UI Semilight" w:hAnsi="Segoe UI Semilight" w:cs="Segoe UI Semilight"/>
          <w:sz w:val="18"/>
          <w:szCs w:val="18"/>
        </w:rPr>
      </w:pPr>
      <w:r w:rsidRPr="00E9240E">
        <w:rPr>
          <w:rFonts w:ascii="Segoe UI Semilight" w:hAnsi="Segoe UI Semilight" w:cs="Segoe UI Semilight"/>
          <w:sz w:val="18"/>
          <w:szCs w:val="18"/>
        </w:rPr>
        <w:t>À l'issue de la revue de la littérature et des consultations, plusieurs cycles de discussions et de votes ont été conduits en tenant compte des avis des différentes parties prenantes, des résultats des enquêtes antérieures, de l'expertise clinique et académique des membres du groupe de travail, ainsi que des systèmes de classification internationaux (DSM-5 et CIM-11). Un consensus, défini comme une adhésion collective à une décision sans nécessairement impliquer l'unanimité sur chacun de ses aspects, a été atteint en faveur du terme « crises fonctionnelles/dissociatives », qui associe les deux appellations ayant recueilli le plus large soutien dans les enquêtes précédentes.</w:t>
      </w:r>
    </w:p>
    <w:p w14:paraId="5018AB61" w14:textId="77777777" w:rsidR="00FF1392" w:rsidRPr="00E9240E" w:rsidRDefault="00000000" w:rsidP="00E9240E">
      <w:pPr>
        <w:pStyle w:val="3"/>
        <w:rPr>
          <w:rFonts w:ascii="Segoe UI Semilight" w:hAnsi="Segoe UI Semilight" w:cs="Segoe UI Semilight"/>
          <w:sz w:val="24"/>
          <w:szCs w:val="24"/>
        </w:rPr>
      </w:pPr>
      <w:r w:rsidRPr="00E9240E">
        <w:rPr>
          <w:rFonts w:ascii="Segoe UI Semilight" w:hAnsi="Segoe UI Semilight" w:cs="Segoe UI Semilight"/>
          <w:sz w:val="24"/>
          <w:szCs w:val="24"/>
        </w:rPr>
        <w:t>3.3.4 Consultations</w:t>
      </w:r>
    </w:p>
    <w:p w14:paraId="5D739076" w14:textId="3585D0EE" w:rsidR="00FF1392" w:rsidRPr="00E9240E" w:rsidRDefault="00000000">
      <w:pPr>
        <w:spacing w:after="200" w:line="276" w:lineRule="auto"/>
        <w:jc w:val="both"/>
        <w:rPr>
          <w:rFonts w:ascii="Segoe UI Semilight" w:hAnsi="Segoe UI Semilight" w:cs="Segoe UI Semilight"/>
          <w:sz w:val="18"/>
          <w:szCs w:val="18"/>
        </w:rPr>
      </w:pPr>
      <w:r w:rsidRPr="00E9240E">
        <w:rPr>
          <w:rFonts w:ascii="Segoe UI Semilight" w:hAnsi="Segoe UI Semilight" w:cs="Segoe UI Semilight"/>
          <w:sz w:val="18"/>
          <w:szCs w:val="18"/>
        </w:rPr>
        <w:t xml:space="preserve">Plusieurs consultations ont été menées au sein de la </w:t>
      </w:r>
      <w:r w:rsidR="00E00301" w:rsidRPr="00E9240E">
        <w:rPr>
          <w:rFonts w:ascii="Segoe UI Semilight" w:hAnsi="Segoe UI Semilight" w:cs="Segoe UI Semilight"/>
          <w:sz w:val="18"/>
          <w:szCs w:val="18"/>
        </w:rPr>
        <w:t>ILAE</w:t>
      </w:r>
      <w:r w:rsidRPr="00E9240E">
        <w:rPr>
          <w:rFonts w:ascii="Segoe UI Semilight" w:hAnsi="Segoe UI Semilight" w:cs="Segoe UI Semilight"/>
          <w:sz w:val="18"/>
          <w:szCs w:val="18"/>
        </w:rPr>
        <w:t xml:space="preserve"> (Commission de Psychiatrie, Commission de Méthodologie, Commission de Terminologie, Conseil des Standards et Bonnes Pratiques, Comité exécutif, présidence) ainsi qu'avec des organisations partenaires (</w:t>
      </w:r>
      <w:proofErr w:type="spellStart"/>
      <w:r w:rsidRPr="00E9240E">
        <w:rPr>
          <w:rFonts w:ascii="Segoe UI Semilight" w:hAnsi="Segoe UI Semilight" w:cs="Segoe UI Semilight"/>
          <w:sz w:val="18"/>
          <w:szCs w:val="18"/>
        </w:rPr>
        <w:t>Functional</w:t>
      </w:r>
      <w:proofErr w:type="spellEnd"/>
      <w:r w:rsidRPr="00E9240E">
        <w:rPr>
          <w:rFonts w:ascii="Segoe UI Semilight" w:hAnsi="Segoe UI Semilight" w:cs="Segoe UI Semilight"/>
          <w:sz w:val="18"/>
          <w:szCs w:val="18"/>
        </w:rPr>
        <w:t xml:space="preserve"> </w:t>
      </w:r>
      <w:proofErr w:type="spellStart"/>
      <w:r w:rsidRPr="00E9240E">
        <w:rPr>
          <w:rFonts w:ascii="Segoe UI Semilight" w:hAnsi="Segoe UI Semilight" w:cs="Segoe UI Semilight"/>
          <w:sz w:val="18"/>
          <w:szCs w:val="18"/>
        </w:rPr>
        <w:t>Neurological</w:t>
      </w:r>
      <w:proofErr w:type="spellEnd"/>
      <w:r w:rsidRPr="00E9240E">
        <w:rPr>
          <w:rFonts w:ascii="Segoe UI Semilight" w:hAnsi="Segoe UI Semilight" w:cs="Segoe UI Semilight"/>
          <w:sz w:val="18"/>
          <w:szCs w:val="18"/>
        </w:rPr>
        <w:t xml:space="preserve"> </w:t>
      </w:r>
      <w:proofErr w:type="spellStart"/>
      <w:r w:rsidRPr="00E9240E">
        <w:rPr>
          <w:rFonts w:ascii="Segoe UI Semilight" w:hAnsi="Segoe UI Semilight" w:cs="Segoe UI Semilight"/>
          <w:sz w:val="18"/>
          <w:szCs w:val="18"/>
        </w:rPr>
        <w:t>Disorders</w:t>
      </w:r>
      <w:proofErr w:type="spellEnd"/>
      <w:r w:rsidRPr="00E9240E">
        <w:rPr>
          <w:rFonts w:ascii="Segoe UI Semilight" w:hAnsi="Segoe UI Semilight" w:cs="Segoe UI Semilight"/>
          <w:sz w:val="18"/>
          <w:szCs w:val="18"/>
        </w:rPr>
        <w:t xml:space="preserve"> Society, FND Hope), des collègues et des patients à l'échelle internationale, dont les apports ont été intégrés au processus décisionnel.</w:t>
      </w:r>
    </w:p>
    <w:p w14:paraId="3579F21C" w14:textId="77777777" w:rsidR="00FF1392" w:rsidRPr="00E9240E" w:rsidRDefault="00000000" w:rsidP="00E9240E">
      <w:pPr>
        <w:pStyle w:val="1"/>
        <w:rPr>
          <w:rFonts w:ascii="Segoe UI Semilight" w:hAnsi="Segoe UI Semilight" w:cs="Segoe UI Semilight"/>
          <w:sz w:val="28"/>
          <w:szCs w:val="28"/>
        </w:rPr>
      </w:pPr>
      <w:r w:rsidRPr="00E9240E">
        <w:rPr>
          <w:rFonts w:ascii="Segoe UI Semilight" w:hAnsi="Segoe UI Semilight" w:cs="Segoe UI Semilight"/>
          <w:sz w:val="28"/>
          <w:szCs w:val="28"/>
        </w:rPr>
        <w:t>4. Nouvelle terminologie proposée</w:t>
      </w:r>
    </w:p>
    <w:p w14:paraId="2249DD96" w14:textId="77777777" w:rsidR="00FF1392" w:rsidRPr="00E9240E" w:rsidRDefault="00000000" w:rsidP="00E9240E">
      <w:pPr>
        <w:pStyle w:val="2"/>
        <w:rPr>
          <w:rFonts w:ascii="Segoe UI Semilight" w:hAnsi="Segoe UI Semilight" w:cs="Segoe UI Semilight"/>
          <w:sz w:val="24"/>
          <w:szCs w:val="24"/>
        </w:rPr>
      </w:pPr>
      <w:r w:rsidRPr="00E9240E">
        <w:rPr>
          <w:rFonts w:ascii="Segoe UI Semilight" w:hAnsi="Segoe UI Semilight" w:cs="Segoe UI Semilight"/>
          <w:sz w:val="24"/>
          <w:szCs w:val="24"/>
        </w:rPr>
        <w:t>4.1 Avantages et inconvénients de la nouvelle terminologie</w:t>
      </w:r>
    </w:p>
    <w:p w14:paraId="06C68CED" w14:textId="66EE7616" w:rsidR="00FF1392" w:rsidRPr="00E9240E" w:rsidRDefault="00000000">
      <w:pPr>
        <w:spacing w:after="200" w:line="276" w:lineRule="auto"/>
        <w:jc w:val="both"/>
        <w:rPr>
          <w:rFonts w:ascii="Segoe UI Semilight" w:hAnsi="Segoe UI Semilight" w:cs="Segoe UI Semilight"/>
          <w:sz w:val="18"/>
          <w:szCs w:val="18"/>
        </w:rPr>
      </w:pPr>
      <w:r w:rsidRPr="00E9240E">
        <w:rPr>
          <w:rFonts w:ascii="Segoe UI Semilight" w:hAnsi="Segoe UI Semilight" w:cs="Segoe UI Semilight"/>
          <w:sz w:val="18"/>
          <w:szCs w:val="18"/>
        </w:rPr>
        <w:t xml:space="preserve">Les auteurs ont examiné, pour chacune des composantes </w:t>
      </w:r>
      <w:r w:rsidR="008A61D7" w:rsidRPr="00E9240E">
        <w:rPr>
          <w:rFonts w:ascii="Segoe UI Semilight" w:hAnsi="Segoe UI Semilight" w:cs="Segoe UI Semilight"/>
          <w:sz w:val="18"/>
          <w:szCs w:val="18"/>
        </w:rPr>
        <w:t>de la dénomination</w:t>
      </w:r>
      <w:r w:rsidRPr="00E9240E">
        <w:rPr>
          <w:rFonts w:ascii="Segoe UI Semilight" w:hAnsi="Segoe UI Semilight" w:cs="Segoe UI Semilight"/>
          <w:sz w:val="18"/>
          <w:szCs w:val="18"/>
        </w:rPr>
        <w:t xml:space="preserve"> (« fonctionnel », « dissociatif », « crise », ainsi que le symbole « / »), les arguments pour et contre selon six axes : acceptabilité pour les patients, acceptabilité pour les professionnels de santé, niveau diagnostique/sémiologique, niveau thérapeutique, mécanismes du trouble, et </w:t>
      </w:r>
      <w:proofErr w:type="gramStart"/>
      <w:r w:rsidRPr="00E9240E">
        <w:rPr>
          <w:rFonts w:ascii="Segoe UI Semilight" w:hAnsi="Segoe UI Semilight" w:cs="Segoe UI Semilight"/>
          <w:sz w:val="18"/>
          <w:szCs w:val="18"/>
        </w:rPr>
        <w:t>niveaux socio-économique</w:t>
      </w:r>
      <w:proofErr w:type="gramEnd"/>
      <w:r w:rsidRPr="00E9240E">
        <w:rPr>
          <w:rFonts w:ascii="Segoe UI Semilight" w:hAnsi="Segoe UI Semilight" w:cs="Segoe UI Semilight"/>
          <w:sz w:val="18"/>
          <w:szCs w:val="18"/>
        </w:rPr>
        <w:t xml:space="preserve"> et culturel/linguistique.</w:t>
      </w:r>
    </w:p>
    <w:p w14:paraId="0A1913E0" w14:textId="77777777" w:rsidR="00FF1392" w:rsidRPr="00E9240E" w:rsidRDefault="00000000">
      <w:pPr>
        <w:spacing w:after="200" w:line="276" w:lineRule="auto"/>
        <w:jc w:val="both"/>
        <w:rPr>
          <w:rFonts w:ascii="Segoe UI Semilight" w:hAnsi="Segoe UI Semilight" w:cs="Segoe UI Semilight"/>
          <w:sz w:val="18"/>
          <w:szCs w:val="18"/>
        </w:rPr>
      </w:pPr>
      <w:r w:rsidRPr="00E9240E">
        <w:rPr>
          <w:rFonts w:ascii="Segoe UI Semilight" w:hAnsi="Segoe UI Semilight" w:cs="Segoe UI Semilight"/>
          <w:sz w:val="18"/>
          <w:szCs w:val="18"/>
        </w:rPr>
        <w:t xml:space="preserve">Le terme « fonctionnel » est le plus acceptable pour les patients et cohérent avec le trouble à symptomatologie neurologique fonctionnelle du DSM-5, mais n'est pas reconnu dans la CIM-11 et peut prêter à confusion avec d'autres usages médicaux du terme (médecine fonctionnelle, IRM fonctionnelle). Le terme « dissociatif » est bien établi en </w:t>
      </w:r>
      <w:r w:rsidRPr="00E9240E">
        <w:rPr>
          <w:rFonts w:ascii="Segoe UI Semilight" w:hAnsi="Segoe UI Semilight" w:cs="Segoe UI Semilight"/>
          <w:sz w:val="18"/>
          <w:szCs w:val="18"/>
        </w:rPr>
        <w:lastRenderedPageBreak/>
        <w:t>psychiatrie et utile sur le plan psychoéducatif, en cohérence avec la définition de la dissociation de la CIM-11, mais son acceptabilité est plus variable, tous les patients ne présentant pas de dissociation manifeste, et sa spécificité est débattue. Le terme « crise » demeure le substantif le plus largement utilisé et accepté, malgré le risque de confusion avec l'épilepsie, notamment en anglais.</w:t>
      </w:r>
    </w:p>
    <w:p w14:paraId="7F1C3F8E" w14:textId="77777777" w:rsidR="00FF1392" w:rsidRPr="00E9240E" w:rsidRDefault="00000000">
      <w:pPr>
        <w:spacing w:after="200" w:line="276" w:lineRule="auto"/>
        <w:jc w:val="both"/>
        <w:rPr>
          <w:rFonts w:ascii="Segoe UI Semilight" w:hAnsi="Segoe UI Semilight" w:cs="Segoe UI Semilight"/>
          <w:sz w:val="18"/>
          <w:szCs w:val="18"/>
        </w:rPr>
      </w:pPr>
      <w:r w:rsidRPr="00E9240E">
        <w:rPr>
          <w:rFonts w:ascii="Segoe UI Semilight" w:hAnsi="Segoe UI Semilight" w:cs="Segoe UI Semilight"/>
          <w:sz w:val="18"/>
          <w:szCs w:val="18"/>
        </w:rPr>
        <w:t>L'usage du symbole « / » entre « fonctionnel » et « dissociatif » vise à offrir une marge de liberté terminologique aux cliniciens et aux patients, en fonction du profil clinique, des préférences individuelles et du contexte culturel et linguistique, tout en permettant une reconnaissance simultanée par les deux principaux systèmes de classification internationaux.</w:t>
      </w:r>
    </w:p>
    <w:p w14:paraId="79BF19DA" w14:textId="77777777" w:rsidR="00FF1392" w:rsidRPr="00E9240E" w:rsidRDefault="00000000" w:rsidP="00E9240E">
      <w:pPr>
        <w:pStyle w:val="2"/>
        <w:rPr>
          <w:rFonts w:ascii="Segoe UI Semilight" w:hAnsi="Segoe UI Semilight" w:cs="Segoe UI Semilight"/>
          <w:sz w:val="24"/>
          <w:szCs w:val="24"/>
        </w:rPr>
      </w:pPr>
      <w:r w:rsidRPr="00E9240E">
        <w:rPr>
          <w:rFonts w:ascii="Segoe UI Semilight" w:hAnsi="Segoe UI Semilight" w:cs="Segoe UI Semilight"/>
          <w:sz w:val="24"/>
          <w:szCs w:val="24"/>
        </w:rPr>
        <w:t>4.2 Synthèse</w:t>
      </w:r>
    </w:p>
    <w:p w14:paraId="334FB65C" w14:textId="5F970841" w:rsidR="00FF1392" w:rsidRPr="00E9240E" w:rsidRDefault="00000000">
      <w:pPr>
        <w:spacing w:after="200" w:line="276" w:lineRule="auto"/>
        <w:jc w:val="both"/>
        <w:rPr>
          <w:rFonts w:ascii="Segoe UI Semilight" w:hAnsi="Segoe UI Semilight" w:cs="Segoe UI Semilight"/>
          <w:sz w:val="18"/>
          <w:szCs w:val="18"/>
        </w:rPr>
      </w:pPr>
      <w:r w:rsidRPr="00E9240E">
        <w:rPr>
          <w:rFonts w:ascii="Segoe UI Semilight" w:hAnsi="Segoe UI Semilight" w:cs="Segoe UI Semilight"/>
          <w:sz w:val="18"/>
          <w:szCs w:val="18"/>
        </w:rPr>
        <w:t xml:space="preserve">Sur la base de l'ensemble des éléments présentés, le groupe de travail </w:t>
      </w:r>
      <w:r w:rsidR="00E00301" w:rsidRPr="00E9240E">
        <w:rPr>
          <w:rFonts w:ascii="Segoe UI Semilight" w:hAnsi="Segoe UI Semilight" w:cs="Segoe UI Semilight"/>
          <w:sz w:val="18"/>
          <w:szCs w:val="18"/>
        </w:rPr>
        <w:t>ILAE</w:t>
      </w:r>
      <w:r w:rsidRPr="00E9240E">
        <w:rPr>
          <w:rFonts w:ascii="Segoe UI Semilight" w:hAnsi="Segoe UI Semilight" w:cs="Segoe UI Semilight"/>
          <w:sz w:val="18"/>
          <w:szCs w:val="18"/>
        </w:rPr>
        <w:t xml:space="preserve"> recommande l'adoption du terme « crises fonctionnelles/dissociatives » (CFD) pour la recherche scientifique et la pratique clinique futures, motivée avant tout par la réduction de la stigmatisation et par une meilleure compréhension et adhésion des patients et de leurs familles au diagnostic. Cette double dénomination présente l'avantage d'être ancrée dans les deux systèmes de classification internationaux de référence (DSM-5 et CIM-11), favorisant sa reconnaissance et son codage à l'échelle mondiale. Malgré l'adoption récente par la </w:t>
      </w:r>
      <w:r w:rsidR="00E00301" w:rsidRPr="00E9240E">
        <w:rPr>
          <w:rFonts w:ascii="Segoe UI Semilight" w:hAnsi="Segoe UI Semilight" w:cs="Segoe UI Semilight"/>
          <w:sz w:val="18"/>
          <w:szCs w:val="18"/>
        </w:rPr>
        <w:t>ILAE</w:t>
      </w:r>
      <w:r w:rsidRPr="00E9240E">
        <w:rPr>
          <w:rFonts w:ascii="Segoe UI Semilight" w:hAnsi="Segoe UI Semilight" w:cs="Segoe UI Semilight"/>
          <w:sz w:val="18"/>
          <w:szCs w:val="18"/>
        </w:rPr>
        <w:t xml:space="preserve"> du terme « médicament </w:t>
      </w:r>
      <w:proofErr w:type="spellStart"/>
      <w:r w:rsidRPr="00E9240E">
        <w:rPr>
          <w:rFonts w:ascii="Segoe UI Semilight" w:hAnsi="Segoe UI Semilight" w:cs="Segoe UI Semilight"/>
          <w:sz w:val="18"/>
          <w:szCs w:val="18"/>
        </w:rPr>
        <w:t>antiseizure</w:t>
      </w:r>
      <w:proofErr w:type="spellEnd"/>
      <w:r w:rsidRPr="00E9240E">
        <w:rPr>
          <w:rFonts w:ascii="Segoe UI Semilight" w:hAnsi="Segoe UI Semilight" w:cs="Segoe UI Semilight"/>
          <w:sz w:val="18"/>
          <w:szCs w:val="18"/>
        </w:rPr>
        <w:t xml:space="preserve"> » en lieu et place d</w:t>
      </w:r>
      <w:proofErr w:type="gramStart"/>
      <w:r w:rsidRPr="00E9240E">
        <w:rPr>
          <w:rFonts w:ascii="Segoe UI Semilight" w:hAnsi="Segoe UI Semilight" w:cs="Segoe UI Semilight"/>
          <w:sz w:val="18"/>
          <w:szCs w:val="18"/>
        </w:rPr>
        <w:t>'«</w:t>
      </w:r>
      <w:proofErr w:type="gramEnd"/>
      <w:r w:rsidRPr="00E9240E">
        <w:rPr>
          <w:rFonts w:ascii="Segoe UI Semilight" w:hAnsi="Segoe UI Semilight" w:cs="Segoe UI Semilight"/>
          <w:sz w:val="18"/>
          <w:szCs w:val="18"/>
        </w:rPr>
        <w:t xml:space="preserve"> antiépileptique », le terme « crise » demeure jugé le plus adapté, sous réserve d'une explication systématique aux patients de l'absence d'équivalence avec l'épilepsie.</w:t>
      </w:r>
    </w:p>
    <w:p w14:paraId="1413AC22" w14:textId="77777777" w:rsidR="00FF1392" w:rsidRPr="00E9240E" w:rsidRDefault="00000000" w:rsidP="00E9240E">
      <w:pPr>
        <w:pStyle w:val="1"/>
        <w:rPr>
          <w:rFonts w:ascii="Segoe UI Semilight" w:hAnsi="Segoe UI Semilight" w:cs="Segoe UI Semilight"/>
          <w:sz w:val="28"/>
          <w:szCs w:val="28"/>
        </w:rPr>
      </w:pPr>
      <w:r w:rsidRPr="00E9240E">
        <w:rPr>
          <w:rFonts w:ascii="Segoe UI Semilight" w:hAnsi="Segoe UI Semilight" w:cs="Segoe UI Semilight"/>
          <w:sz w:val="28"/>
          <w:szCs w:val="28"/>
        </w:rPr>
        <w:t>5. Conclusion</w:t>
      </w:r>
    </w:p>
    <w:p w14:paraId="51BF5D7B" w14:textId="77777777" w:rsidR="00FF1392" w:rsidRPr="00E9240E" w:rsidRDefault="00000000">
      <w:pPr>
        <w:spacing w:after="200" w:line="276" w:lineRule="auto"/>
        <w:jc w:val="both"/>
        <w:rPr>
          <w:rFonts w:ascii="Segoe UI Semilight" w:hAnsi="Segoe UI Semilight" w:cs="Segoe UI Semilight"/>
          <w:sz w:val="18"/>
          <w:szCs w:val="18"/>
        </w:rPr>
      </w:pPr>
      <w:r w:rsidRPr="00E9240E">
        <w:rPr>
          <w:rFonts w:ascii="Segoe UI Semilight" w:hAnsi="Segoe UI Semilight" w:cs="Segoe UI Semilight"/>
          <w:sz w:val="18"/>
          <w:szCs w:val="18"/>
        </w:rPr>
        <w:t>Il existe un consensus large sur la nécessité d'adopter un terme unifié pour ce phénomène clinique. Après examen approfondi de la terminologie sous l'angle de l'acceptabilité pour les patients et les professionnels, de l'efficacité thérapeutique, des mécanismes sous-jacents, de la clarté diagnostique, ainsi que des dimensions socio-économiques, linguistiques et culturelles, le groupe de travail conclut que le terme « CFD » constitue le meilleur consensus actuel et devrait être utilisé de manière constante en pratique clinique comme en recherche.</w:t>
      </w:r>
    </w:p>
    <w:p w14:paraId="35721C50" w14:textId="77777777" w:rsidR="00FF1392" w:rsidRDefault="00000000">
      <w:pPr>
        <w:spacing w:after="200" w:line="276" w:lineRule="auto"/>
        <w:jc w:val="both"/>
        <w:rPr>
          <w:rFonts w:ascii="Segoe UI Semilight" w:hAnsi="Segoe UI Semilight" w:cs="Segoe UI Semilight"/>
          <w:sz w:val="18"/>
          <w:szCs w:val="18"/>
        </w:rPr>
      </w:pPr>
      <w:r w:rsidRPr="00E9240E">
        <w:rPr>
          <w:rFonts w:ascii="Segoe UI Semilight" w:hAnsi="Segoe UI Semilight" w:cs="Segoe UI Semilight"/>
          <w:sz w:val="18"/>
          <w:szCs w:val="18"/>
        </w:rPr>
        <w:t>L'adoption de ce terme uniforme et non péjoratif devrait permettre d'améliorer la communication scientifique et clinique, de réduire les malentendus et d'accroître l'offre de soins et les opportunités de recherche pour les patients présentant des CFD. Les auteurs appellent les professionnels, éditeurs, parties prenantes et organisations telles que l'Organisation mondiale de la santé à promouvoir l'usage du terme « CFD », en particulier au sein des classifications internationales (DSM, CIM). Des études futures devront évaluer l'impact de cette nouvelle terminologie sur la précision diagnostique, les résultats thérapeutiques et la qualité globale de la prise en charge des patients.</w:t>
      </w:r>
    </w:p>
    <w:p w14:paraId="43BA64A1" w14:textId="4F0CA55F" w:rsidR="009D60EA" w:rsidRPr="009D60EA" w:rsidRDefault="009D60EA" w:rsidP="009D60EA">
      <w:pPr>
        <w:spacing w:after="200" w:line="276" w:lineRule="auto"/>
        <w:jc w:val="center"/>
        <w:rPr>
          <w:rFonts w:ascii="Segoe UI Semilight" w:hAnsi="Segoe UI Semilight" w:cs="Segoe UI Semilight"/>
          <w:b/>
          <w:bCs/>
          <w:sz w:val="18"/>
          <w:szCs w:val="18"/>
        </w:rPr>
      </w:pPr>
      <w:r w:rsidRPr="009D60EA">
        <w:rPr>
          <w:rFonts w:ascii="Segoe UI Semilight" w:hAnsi="Segoe UI Semilight" w:cs="Segoe UI Semilight"/>
          <w:b/>
          <w:bCs/>
          <w:sz w:val="18"/>
          <w:szCs w:val="18"/>
        </w:rPr>
        <w:t>Dr Chakri Soukayna</w:t>
      </w:r>
    </w:p>
    <w:p w14:paraId="7B94D21F" w14:textId="0FA6BF9E" w:rsidR="009D60EA" w:rsidRPr="009D60EA" w:rsidRDefault="009D60EA" w:rsidP="009D60EA">
      <w:pPr>
        <w:spacing w:after="200" w:line="276" w:lineRule="auto"/>
        <w:jc w:val="center"/>
        <w:rPr>
          <w:rFonts w:ascii="Segoe UI Semilight" w:hAnsi="Segoe UI Semilight" w:cs="Segoe UI Semilight"/>
          <w:b/>
          <w:bCs/>
          <w:sz w:val="18"/>
          <w:szCs w:val="18"/>
        </w:rPr>
      </w:pPr>
      <w:r w:rsidRPr="009D60EA">
        <w:rPr>
          <w:rFonts w:ascii="Segoe UI Semilight" w:hAnsi="Segoe UI Semilight" w:cs="Segoe UI Semilight"/>
          <w:b/>
          <w:bCs/>
          <w:sz w:val="18"/>
          <w:szCs w:val="18"/>
        </w:rPr>
        <w:t>Centre psychiatrique universitaire d’agadir</w:t>
      </w:r>
    </w:p>
    <w:p w14:paraId="6D95C8E5" w14:textId="11B2B3C1" w:rsidR="009D60EA" w:rsidRPr="009D60EA" w:rsidRDefault="009D60EA" w:rsidP="009D60EA">
      <w:pPr>
        <w:spacing w:after="200" w:line="276" w:lineRule="auto"/>
        <w:jc w:val="center"/>
        <w:rPr>
          <w:rFonts w:ascii="Segoe UI Semilight" w:hAnsi="Segoe UI Semilight" w:cs="Segoe UI Semilight"/>
          <w:b/>
          <w:bCs/>
          <w:sz w:val="18"/>
          <w:szCs w:val="18"/>
        </w:rPr>
      </w:pPr>
      <w:r w:rsidRPr="009D60EA">
        <w:rPr>
          <w:rFonts w:ascii="Segoe UI Semilight" w:hAnsi="Segoe UI Semilight" w:cs="Segoe UI Semilight"/>
          <w:b/>
          <w:bCs/>
          <w:sz w:val="18"/>
          <w:szCs w:val="18"/>
        </w:rPr>
        <w:t>Juillet 2026</w:t>
      </w:r>
    </w:p>
    <w:sectPr w:rsidR="009D60EA" w:rsidRPr="009D60EA" w:rsidSect="00E9240E">
      <w:pgSz w:w="11906" w:h="16838"/>
      <w:pgMar w:top="851"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GuardianSansGR-Regular">
    <w:panose1 w:val="00000000000000000000"/>
    <w:charset w:val="80"/>
    <w:family w:val="auto"/>
    <w:notTrueType/>
    <w:pitch w:val="default"/>
    <w:sig w:usb0="00000001" w:usb1="08070000" w:usb2="00000010" w:usb3="00000000" w:csb0="0002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E453E9"/>
    <w:multiLevelType w:val="hybridMultilevel"/>
    <w:tmpl w:val="92402A7E"/>
    <w:lvl w:ilvl="0" w:tplc="72B4C0C6">
      <w:start w:val="1"/>
      <w:numFmt w:val="bullet"/>
      <w:lvlText w:val="●"/>
      <w:lvlJc w:val="left"/>
      <w:pPr>
        <w:ind w:left="720" w:hanging="360"/>
      </w:pPr>
    </w:lvl>
    <w:lvl w:ilvl="1" w:tplc="1FEC0E90">
      <w:start w:val="1"/>
      <w:numFmt w:val="bullet"/>
      <w:lvlText w:val="○"/>
      <w:lvlJc w:val="left"/>
      <w:pPr>
        <w:ind w:left="1440" w:hanging="360"/>
      </w:pPr>
    </w:lvl>
    <w:lvl w:ilvl="2" w:tplc="0A48AD7C">
      <w:start w:val="1"/>
      <w:numFmt w:val="bullet"/>
      <w:lvlText w:val="■"/>
      <w:lvlJc w:val="left"/>
      <w:pPr>
        <w:ind w:left="2160" w:hanging="360"/>
      </w:pPr>
    </w:lvl>
    <w:lvl w:ilvl="3" w:tplc="0DBC5394">
      <w:start w:val="1"/>
      <w:numFmt w:val="bullet"/>
      <w:lvlText w:val="●"/>
      <w:lvlJc w:val="left"/>
      <w:pPr>
        <w:ind w:left="2880" w:hanging="360"/>
      </w:pPr>
    </w:lvl>
    <w:lvl w:ilvl="4" w:tplc="CFB4A9FC">
      <w:start w:val="1"/>
      <w:numFmt w:val="bullet"/>
      <w:lvlText w:val="○"/>
      <w:lvlJc w:val="left"/>
      <w:pPr>
        <w:ind w:left="3600" w:hanging="360"/>
      </w:pPr>
    </w:lvl>
    <w:lvl w:ilvl="5" w:tplc="C8E20078">
      <w:start w:val="1"/>
      <w:numFmt w:val="bullet"/>
      <w:lvlText w:val="■"/>
      <w:lvlJc w:val="left"/>
      <w:pPr>
        <w:ind w:left="4320" w:hanging="360"/>
      </w:pPr>
    </w:lvl>
    <w:lvl w:ilvl="6" w:tplc="7444F3C2">
      <w:start w:val="1"/>
      <w:numFmt w:val="bullet"/>
      <w:lvlText w:val="●"/>
      <w:lvlJc w:val="left"/>
      <w:pPr>
        <w:ind w:left="5040" w:hanging="360"/>
      </w:pPr>
    </w:lvl>
    <w:lvl w:ilvl="7" w:tplc="0FC09654">
      <w:start w:val="1"/>
      <w:numFmt w:val="bullet"/>
      <w:lvlText w:val="●"/>
      <w:lvlJc w:val="left"/>
      <w:pPr>
        <w:ind w:left="5760" w:hanging="360"/>
      </w:pPr>
    </w:lvl>
    <w:lvl w:ilvl="8" w:tplc="B798D4E8">
      <w:start w:val="1"/>
      <w:numFmt w:val="bullet"/>
      <w:lvlText w:val="●"/>
      <w:lvlJc w:val="left"/>
      <w:pPr>
        <w:ind w:left="6480" w:hanging="360"/>
      </w:pPr>
    </w:lvl>
  </w:abstractNum>
  <w:num w:numId="1" w16cid:durableId="155859078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392"/>
    <w:rsid w:val="00074950"/>
    <w:rsid w:val="001B20A7"/>
    <w:rsid w:val="001C6930"/>
    <w:rsid w:val="00291DCF"/>
    <w:rsid w:val="003B7BD0"/>
    <w:rsid w:val="0049029C"/>
    <w:rsid w:val="004C57DB"/>
    <w:rsid w:val="008A61D7"/>
    <w:rsid w:val="008E66E8"/>
    <w:rsid w:val="009D60EA"/>
    <w:rsid w:val="00BD1FF1"/>
    <w:rsid w:val="00E00301"/>
    <w:rsid w:val="00E9240E"/>
    <w:rsid w:val="00F050E1"/>
    <w:rsid w:val="00F95A5B"/>
    <w:rsid w:val="00FF139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8C1A"/>
  <w15:docId w15:val="{5B715CC7-278D-443D-9D70-919C591D7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link w:val="lev1Car"/>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style>
  <w:style w:type="character" w:customStyle="1" w:styleId="NotedefinCar">
    <w:name w:val="Note de fin Car"/>
    <w:link w:val="Notedefin"/>
    <w:uiPriority w:val="99"/>
    <w:semiHidden/>
    <w:unhideWhenUsed/>
    <w:rPr>
      <w:sz w:val="20"/>
      <w:szCs w:val="20"/>
    </w:rPr>
  </w:style>
  <w:style w:type="paragraph" w:styleId="Citationintense">
    <w:name w:val="Intense Quote"/>
    <w:basedOn w:val="Normal"/>
    <w:next w:val="Normal"/>
    <w:link w:val="CitationintenseCar"/>
    <w:uiPriority w:val="30"/>
    <w:qFormat/>
    <w:rsid w:val="00E00301"/>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CitationintenseCar">
    <w:name w:val="Citation intense Car"/>
    <w:basedOn w:val="Policepardfaut"/>
    <w:link w:val="Citationintense"/>
    <w:uiPriority w:val="30"/>
    <w:rsid w:val="00E00301"/>
    <w:rPr>
      <w:i/>
      <w:iCs/>
      <w:color w:val="156082" w:themeColor="accent1"/>
    </w:rPr>
  </w:style>
  <w:style w:type="character" w:styleId="lev">
    <w:name w:val="Strong"/>
    <w:basedOn w:val="Policepardfaut"/>
    <w:uiPriority w:val="22"/>
    <w:qFormat/>
    <w:rsid w:val="00074950"/>
    <w:rPr>
      <w:b/>
      <w:bCs/>
    </w:rPr>
  </w:style>
  <w:style w:type="paragraph" w:customStyle="1" w:styleId="1">
    <w:name w:val="1"/>
    <w:basedOn w:val="Normal"/>
    <w:link w:val="1Car"/>
    <w:qFormat/>
    <w:rsid w:val="00E9240E"/>
    <w:pPr>
      <w:spacing w:after="120"/>
    </w:pPr>
    <w:rPr>
      <w:b/>
      <w:bCs/>
      <w:color w:val="BF4E14" w:themeColor="accent2" w:themeShade="BF"/>
      <w:sz w:val="32"/>
      <w:szCs w:val="32"/>
    </w:rPr>
  </w:style>
  <w:style w:type="character" w:customStyle="1" w:styleId="1Car">
    <w:name w:val="1 Car"/>
    <w:basedOn w:val="Policepardfaut"/>
    <w:link w:val="1"/>
    <w:rsid w:val="00E9240E"/>
    <w:rPr>
      <w:b/>
      <w:bCs/>
      <w:color w:val="BF4E14" w:themeColor="accent2" w:themeShade="BF"/>
      <w:sz w:val="32"/>
      <w:szCs w:val="32"/>
    </w:rPr>
  </w:style>
  <w:style w:type="paragraph" w:customStyle="1" w:styleId="2">
    <w:name w:val="2"/>
    <w:basedOn w:val="lev1"/>
    <w:link w:val="2Car"/>
    <w:qFormat/>
    <w:rsid w:val="00E9240E"/>
    <w:pPr>
      <w:spacing w:after="120"/>
    </w:pPr>
    <w:rPr>
      <w:i/>
      <w:iCs/>
      <w:color w:val="4EA72E" w:themeColor="accent6"/>
      <w:sz w:val="26"/>
      <w:szCs w:val="26"/>
    </w:rPr>
  </w:style>
  <w:style w:type="character" w:customStyle="1" w:styleId="lev1Car">
    <w:name w:val="Élevé1 Car"/>
    <w:basedOn w:val="Policepardfaut"/>
    <w:link w:val="lev1"/>
    <w:rsid w:val="00E9240E"/>
    <w:rPr>
      <w:b/>
      <w:bCs/>
    </w:rPr>
  </w:style>
  <w:style w:type="character" w:customStyle="1" w:styleId="2Car">
    <w:name w:val="2 Car"/>
    <w:basedOn w:val="lev1Car"/>
    <w:link w:val="2"/>
    <w:rsid w:val="00E9240E"/>
    <w:rPr>
      <w:b/>
      <w:bCs/>
      <w:i/>
      <w:iCs/>
      <w:color w:val="4EA72E" w:themeColor="accent6"/>
      <w:sz w:val="26"/>
      <w:szCs w:val="26"/>
    </w:rPr>
  </w:style>
  <w:style w:type="paragraph" w:customStyle="1" w:styleId="3">
    <w:name w:val="3"/>
    <w:basedOn w:val="2"/>
    <w:link w:val="3Car"/>
    <w:qFormat/>
    <w:rsid w:val="00E9240E"/>
    <w:rPr>
      <w:color w:val="77206D" w:themeColor="accent5" w:themeShade="BF"/>
      <w:sz w:val="25"/>
      <w:szCs w:val="25"/>
    </w:rPr>
  </w:style>
  <w:style w:type="character" w:customStyle="1" w:styleId="3Car">
    <w:name w:val="3 Car"/>
    <w:basedOn w:val="2Car"/>
    <w:link w:val="3"/>
    <w:rsid w:val="00E9240E"/>
    <w:rPr>
      <w:b/>
      <w:bCs/>
      <w:i/>
      <w:iCs/>
      <w:color w:val="77206D" w:themeColor="accent5" w:themeShade="BF"/>
      <w:sz w:val="25"/>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2336</Words>
  <Characters>12850</Characters>
  <Application>Microsoft Office Word</Application>
  <DocSecurity>0</DocSecurity>
  <Lines>107</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khadija Akebour</cp:lastModifiedBy>
  <cp:revision>9</cp:revision>
  <dcterms:created xsi:type="dcterms:W3CDTF">2026-07-25T21:35:00Z</dcterms:created>
  <dcterms:modified xsi:type="dcterms:W3CDTF">2026-07-26T21:18:00Z</dcterms:modified>
</cp:coreProperties>
</file>