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FB25" w14:textId="7EF3122C" w:rsidR="00E67867" w:rsidRDefault="1EE38715" w:rsidP="2E3772FF">
      <w:pPr>
        <w:pStyle w:val="Titre"/>
        <w:jc w:val="center"/>
        <w:rPr>
          <w:b/>
          <w:bCs/>
          <w:sz w:val="36"/>
          <w:szCs w:val="36"/>
        </w:rPr>
      </w:pPr>
      <w:r w:rsidRPr="631DB9F2">
        <w:rPr>
          <w:b/>
          <w:bCs/>
          <w:sz w:val="36"/>
          <w:szCs w:val="36"/>
        </w:rPr>
        <w:t>Comportement sexuel compulsif dans le trouble lié à l'usage de cocaïne : résultats thérapeutiques et défis cliniques</w:t>
      </w:r>
    </w:p>
    <w:p w14:paraId="21F5DA29" w14:textId="4BB3A3D3" w:rsidR="631DB9F2" w:rsidRDefault="631DB9F2" w:rsidP="631DB9F2"/>
    <w:p w14:paraId="6D4A2256" w14:textId="07943CFE" w:rsidR="631DB9F2" w:rsidRDefault="5BD4DA56" w:rsidP="631DB9F2">
      <w:r>
        <w:rPr>
          <w:noProof/>
        </w:rPr>
        <w:drawing>
          <wp:inline distT="0" distB="0" distL="0" distR="0" wp14:anchorId="75D66ECA" wp14:editId="1228E9FB">
            <wp:extent cx="5724525" cy="2257425"/>
            <wp:effectExtent l="0" t="0" r="0" b="0"/>
            <wp:docPr id="269691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91877" name="Picture 269691877"/>
                    <pic:cNvPicPr/>
                  </pic:nvPicPr>
                  <pic:blipFill>
                    <a:blip r:embed="rId5">
                      <a:extLst>
                        <a:ext uri="{28A0092B-C50C-407E-A947-70E740481C1C}">
                          <a14:useLocalDpi xmlns:a14="http://schemas.microsoft.com/office/drawing/2010/main"/>
                        </a:ext>
                      </a:extLst>
                    </a:blip>
                    <a:stretch>
                      <a:fillRect/>
                    </a:stretch>
                  </pic:blipFill>
                  <pic:spPr>
                    <a:xfrm>
                      <a:off x="0" y="0"/>
                      <a:ext cx="5724525" cy="2257425"/>
                    </a:xfrm>
                    <a:prstGeom prst="rect">
                      <a:avLst/>
                    </a:prstGeom>
                  </pic:spPr>
                </pic:pic>
              </a:graphicData>
            </a:graphic>
          </wp:inline>
        </w:drawing>
      </w:r>
    </w:p>
    <w:p w14:paraId="6E746E63" w14:textId="5ED17C52" w:rsidR="7CF056BC" w:rsidRPr="007A132B" w:rsidRDefault="7CF056BC" w:rsidP="007A132B">
      <w:pPr>
        <w:pStyle w:val="Titre1"/>
        <w:jc w:val="both"/>
        <w:rPr>
          <w:rFonts w:ascii="Calibri" w:hAnsi="Calibri" w:cs="Calibri"/>
          <w:sz w:val="24"/>
          <w:szCs w:val="24"/>
        </w:rPr>
      </w:pPr>
      <w:r w:rsidRPr="007A132B">
        <w:rPr>
          <w:rFonts w:ascii="Calibri" w:hAnsi="Calibri" w:cs="Calibri"/>
          <w:sz w:val="24"/>
          <w:szCs w:val="24"/>
        </w:rPr>
        <w:t xml:space="preserve">Contexte </w:t>
      </w:r>
    </w:p>
    <w:p w14:paraId="56791E27" w14:textId="08E7C90E" w:rsidR="7CF056BC" w:rsidRPr="007A132B" w:rsidRDefault="7CF056BC" w:rsidP="007A132B">
      <w:pPr>
        <w:jc w:val="both"/>
        <w:rPr>
          <w:rFonts w:ascii="Calibri" w:hAnsi="Calibri" w:cs="Calibri"/>
        </w:rPr>
      </w:pPr>
      <w:r w:rsidRPr="007A132B">
        <w:rPr>
          <w:rFonts w:ascii="Calibri" w:eastAsia="Aptos" w:hAnsi="Calibri" w:cs="Calibri"/>
        </w:rPr>
        <w:t>Le trouble du comportement sexuel compulsif (CSC) se caractérise par une incapacité persistante à contrôler les impulsions sexuelles, avec poursuite du comportement malgré des conséquences négatives. Un débat existe sur sa classification (trouble du contrôle des impulsions ou addiction), mais des études de neuroimagerie montrent une activation du système de récompense similaire à celle observée dans les addictions aux substances. Des déficits des réseaux de saillance et des fonctions exécutives suggèrent un phénotype Trans diagnostique.</w:t>
      </w:r>
    </w:p>
    <w:p w14:paraId="39E8D7C6" w14:textId="2025FEE3" w:rsidR="7CF056BC" w:rsidRPr="007A132B" w:rsidRDefault="7CF056BC" w:rsidP="007A132B">
      <w:pPr>
        <w:pStyle w:val="Titre3"/>
        <w:jc w:val="both"/>
        <w:rPr>
          <w:rFonts w:ascii="Calibri" w:hAnsi="Calibri" w:cs="Calibri"/>
          <w:sz w:val="24"/>
          <w:szCs w:val="24"/>
        </w:rPr>
      </w:pPr>
      <w:r w:rsidRPr="007A132B">
        <w:rPr>
          <w:rFonts w:ascii="Calibri" w:hAnsi="Calibri" w:cs="Calibri"/>
          <w:sz w:val="24"/>
          <w:szCs w:val="24"/>
        </w:rPr>
        <w:t xml:space="preserve">Liens entre CSC et troubles liés à l'usage de substances (TUS) </w:t>
      </w:r>
    </w:p>
    <w:p w14:paraId="01B61397" w14:textId="3F9ACBC7" w:rsidR="7CF056BC" w:rsidRPr="007A132B" w:rsidRDefault="7CF056BC" w:rsidP="007A132B">
      <w:pPr>
        <w:jc w:val="both"/>
        <w:rPr>
          <w:rFonts w:ascii="Calibri" w:hAnsi="Calibri" w:cs="Calibri"/>
        </w:rPr>
      </w:pPr>
      <w:r w:rsidRPr="007A132B">
        <w:rPr>
          <w:rFonts w:ascii="Calibri" w:eastAsia="Aptos" w:hAnsi="Calibri" w:cs="Calibri"/>
        </w:rPr>
        <w:t>Les critères d'addiction du DSM-5 (</w:t>
      </w:r>
      <w:bookmarkStart w:id="0" w:name="_Int_p7Izx3F2"/>
      <w:r w:rsidRPr="007A132B">
        <w:rPr>
          <w:rFonts w:ascii="Calibri" w:eastAsia="Aptos" w:hAnsi="Calibri" w:cs="Calibri"/>
        </w:rPr>
        <w:t>craving</w:t>
      </w:r>
      <w:bookmarkEnd w:id="0"/>
      <w:r w:rsidRPr="007A132B">
        <w:rPr>
          <w:rFonts w:ascii="Calibri" w:eastAsia="Aptos" w:hAnsi="Calibri" w:cs="Calibri"/>
        </w:rPr>
        <w:t xml:space="preserve">, perte de contrôle, conséquences négatives) sont très présents dans le CSC. Les deux troubles partagent des traits de personnalité (faible conscience, névrosisme élevé, recherche de nouveauté) et des difficultés de régulation émotionnelle (RE). Les difficultés de RE sont considérées comme un facteur </w:t>
      </w:r>
      <w:r w:rsidR="4AE436B5" w:rsidRPr="007A132B">
        <w:rPr>
          <w:rFonts w:ascii="Calibri" w:eastAsia="Aptos" w:hAnsi="Calibri" w:cs="Calibri"/>
        </w:rPr>
        <w:t>Trans diagnostique</w:t>
      </w:r>
      <w:r w:rsidRPr="007A132B">
        <w:rPr>
          <w:rFonts w:ascii="Calibri" w:eastAsia="Aptos" w:hAnsi="Calibri" w:cs="Calibri"/>
        </w:rPr>
        <w:t xml:space="preserve"> expliquant la comorbidité élevée entre CSC et TUS. La prévalence du CSC chez les patients TUS varie de 3,3 % à 29 %, et la cocaïne est la substance la plus liée au CSC.</w:t>
      </w:r>
    </w:p>
    <w:p w14:paraId="1EEDF408" w14:textId="1DDF47B2" w:rsidR="7CF056BC" w:rsidRPr="007A132B" w:rsidRDefault="7CF056BC" w:rsidP="007A132B">
      <w:pPr>
        <w:pStyle w:val="Titre3"/>
        <w:jc w:val="both"/>
        <w:rPr>
          <w:rFonts w:ascii="Calibri" w:hAnsi="Calibri" w:cs="Calibri"/>
          <w:sz w:val="24"/>
          <w:szCs w:val="24"/>
        </w:rPr>
      </w:pPr>
      <w:r w:rsidRPr="007A132B">
        <w:rPr>
          <w:rFonts w:ascii="Calibri" w:hAnsi="Calibri" w:cs="Calibri"/>
          <w:sz w:val="24"/>
          <w:szCs w:val="24"/>
        </w:rPr>
        <w:t xml:space="preserve">Modèle I-PACE et facteur p </w:t>
      </w:r>
    </w:p>
    <w:p w14:paraId="6EF031A2" w14:textId="56CD1154" w:rsidR="7CF056BC" w:rsidRPr="007A132B" w:rsidRDefault="7CF056BC" w:rsidP="007A132B">
      <w:pPr>
        <w:jc w:val="both"/>
        <w:rPr>
          <w:rFonts w:ascii="Calibri" w:hAnsi="Calibri" w:cs="Calibri"/>
        </w:rPr>
      </w:pPr>
      <w:r w:rsidRPr="007A132B">
        <w:rPr>
          <w:rFonts w:ascii="Calibri" w:eastAsia="Aptos" w:hAnsi="Calibri" w:cs="Calibri"/>
        </w:rPr>
        <w:t>Le modèle I-PACE explique les addictions par l'interaction entre variables prédisposantes, réponses affectives/cognitives et fonctions exécutives. Le facteur p représente un continuum de sévérité psychopathologique commun à tous les troubles mentaux, lié au névrosisme, au déficit de contrôle des impulsions/émotions et à un fonctionnement intellectuel plus faible. La co-occurrence TUC-CSC suggère un score p élevé et de moins bons résultats thérapeutiques.</w:t>
      </w:r>
    </w:p>
    <w:p w14:paraId="0F8D9E1A" w14:textId="6CEE14A6" w:rsidR="7CF056BC" w:rsidRPr="007A132B" w:rsidRDefault="7CF056BC" w:rsidP="007A132B">
      <w:pPr>
        <w:pStyle w:val="Titre3"/>
        <w:jc w:val="both"/>
        <w:rPr>
          <w:rFonts w:ascii="Calibri" w:hAnsi="Calibri" w:cs="Calibri"/>
          <w:sz w:val="24"/>
          <w:szCs w:val="24"/>
        </w:rPr>
      </w:pPr>
      <w:r w:rsidRPr="007A132B">
        <w:rPr>
          <w:rFonts w:ascii="Calibri" w:hAnsi="Calibri" w:cs="Calibri"/>
          <w:sz w:val="24"/>
          <w:szCs w:val="24"/>
        </w:rPr>
        <w:lastRenderedPageBreak/>
        <w:t xml:space="preserve">Lacunes et objectifs de l'étude </w:t>
      </w:r>
    </w:p>
    <w:p w14:paraId="751534F1" w14:textId="4D022A2D" w:rsidR="7CF056BC" w:rsidRPr="007A132B" w:rsidRDefault="7CF056BC" w:rsidP="007A132B">
      <w:pPr>
        <w:jc w:val="both"/>
        <w:rPr>
          <w:rFonts w:ascii="Calibri" w:hAnsi="Calibri" w:cs="Calibri"/>
        </w:rPr>
      </w:pPr>
      <w:r w:rsidRPr="007A132B">
        <w:rPr>
          <w:rFonts w:ascii="Calibri" w:eastAsia="Aptos" w:hAnsi="Calibri" w:cs="Calibri"/>
        </w:rPr>
        <w:t xml:space="preserve">Peu d'études ont évalué le CSC dans le trouble de l'usage de cocaïne (TUC), et uniquement en milieu hospitalier. Cette étude exploratoire vise à : </w:t>
      </w:r>
    </w:p>
    <w:p w14:paraId="1076B247" w14:textId="150E43F9" w:rsidR="1E84AD4E" w:rsidRPr="007A132B" w:rsidRDefault="1E84AD4E" w:rsidP="007A132B">
      <w:pPr>
        <w:pStyle w:val="Paragraphedeliste"/>
        <w:numPr>
          <w:ilvl w:val="0"/>
          <w:numId w:val="4"/>
        </w:numPr>
        <w:jc w:val="both"/>
        <w:rPr>
          <w:rFonts w:ascii="Calibri" w:eastAsia="Aptos" w:hAnsi="Calibri" w:cs="Calibri"/>
        </w:rPr>
      </w:pPr>
      <w:r w:rsidRPr="007A132B">
        <w:rPr>
          <w:rFonts w:ascii="Calibri" w:eastAsia="Aptos" w:hAnsi="Calibri" w:cs="Calibri"/>
        </w:rPr>
        <w:t>Caractériser</w:t>
      </w:r>
      <w:r w:rsidR="7CF056BC" w:rsidRPr="007A132B">
        <w:rPr>
          <w:rFonts w:ascii="Calibri" w:eastAsia="Aptos" w:hAnsi="Calibri" w:cs="Calibri"/>
        </w:rPr>
        <w:t xml:space="preserve"> le CSC probable chez des patients TUC et comparer leurs profils cliniques</w:t>
      </w:r>
      <w:r w:rsidR="7F35CA41" w:rsidRPr="007A132B">
        <w:rPr>
          <w:rFonts w:ascii="Calibri" w:eastAsia="Aptos" w:hAnsi="Calibri" w:cs="Calibri"/>
        </w:rPr>
        <w:t>.</w:t>
      </w:r>
    </w:p>
    <w:p w14:paraId="612977AF" w14:textId="28F57EF9" w:rsidR="28A7AAEF" w:rsidRPr="007A132B" w:rsidRDefault="28A7AAEF" w:rsidP="007A132B">
      <w:pPr>
        <w:pStyle w:val="Paragraphedeliste"/>
        <w:numPr>
          <w:ilvl w:val="0"/>
          <w:numId w:val="4"/>
        </w:numPr>
        <w:jc w:val="both"/>
        <w:rPr>
          <w:rFonts w:ascii="Calibri" w:eastAsia="Aptos" w:hAnsi="Calibri" w:cs="Calibri"/>
        </w:rPr>
      </w:pPr>
      <w:r w:rsidRPr="007A132B">
        <w:rPr>
          <w:rFonts w:ascii="Calibri" w:eastAsia="Aptos" w:hAnsi="Calibri" w:cs="Calibri"/>
        </w:rPr>
        <w:t>Déterminer</w:t>
      </w:r>
      <w:r w:rsidR="7CF056BC" w:rsidRPr="007A132B">
        <w:rPr>
          <w:rFonts w:ascii="Calibri" w:eastAsia="Aptos" w:hAnsi="Calibri" w:cs="Calibri"/>
        </w:rPr>
        <w:t xml:space="preserve"> si les difficultés de RE en début d'hospitalisation prédisent le CSC probable après traitement ambulatoire</w:t>
      </w:r>
      <w:r w:rsidR="67CB18D2" w:rsidRPr="007A132B">
        <w:rPr>
          <w:rFonts w:ascii="Calibri" w:eastAsia="Aptos" w:hAnsi="Calibri" w:cs="Calibri"/>
        </w:rPr>
        <w:t>.</w:t>
      </w:r>
    </w:p>
    <w:p w14:paraId="64C3DD53" w14:textId="73CC72C8" w:rsidR="7580F27B" w:rsidRPr="007A132B" w:rsidRDefault="7580F27B" w:rsidP="007A132B">
      <w:pPr>
        <w:pStyle w:val="Paragraphedeliste"/>
        <w:numPr>
          <w:ilvl w:val="0"/>
          <w:numId w:val="4"/>
        </w:numPr>
        <w:jc w:val="both"/>
        <w:rPr>
          <w:rFonts w:ascii="Calibri" w:eastAsia="Aptos" w:hAnsi="Calibri" w:cs="Calibri"/>
        </w:rPr>
      </w:pPr>
      <w:r w:rsidRPr="007A132B">
        <w:rPr>
          <w:rFonts w:ascii="Calibri" w:eastAsia="Aptos" w:hAnsi="Calibri" w:cs="Calibri"/>
        </w:rPr>
        <w:t>Examiner</w:t>
      </w:r>
      <w:r w:rsidR="7CF056BC" w:rsidRPr="007A132B">
        <w:rPr>
          <w:rFonts w:ascii="Calibri" w:eastAsia="Aptos" w:hAnsi="Calibri" w:cs="Calibri"/>
        </w:rPr>
        <w:t xml:space="preserve"> les différences de résultats thérapeutiques (abandon, rechute) selon la présence de CSC probable et le fardeau psychopathologique.</w:t>
      </w:r>
    </w:p>
    <w:p w14:paraId="4C402465" w14:textId="706E719D" w:rsidR="631DB9F2" w:rsidRPr="007A132B" w:rsidRDefault="631DB9F2" w:rsidP="007A132B">
      <w:pPr>
        <w:jc w:val="both"/>
        <w:rPr>
          <w:rFonts w:ascii="Calibri" w:eastAsia="Aptos" w:hAnsi="Calibri" w:cs="Calibri"/>
        </w:rPr>
      </w:pPr>
    </w:p>
    <w:p w14:paraId="4C1F2103" w14:textId="7CB5B82F" w:rsidR="700834CF" w:rsidRPr="007A132B" w:rsidRDefault="700834CF" w:rsidP="007A132B">
      <w:pPr>
        <w:pStyle w:val="Titre1"/>
        <w:jc w:val="both"/>
        <w:rPr>
          <w:rFonts w:ascii="Calibri" w:eastAsia="Aptos" w:hAnsi="Calibri" w:cs="Calibri"/>
          <w:sz w:val="24"/>
          <w:szCs w:val="24"/>
        </w:rPr>
      </w:pPr>
      <w:r w:rsidRPr="007A132B">
        <w:rPr>
          <w:rFonts w:ascii="Calibri" w:hAnsi="Calibri" w:cs="Calibri"/>
          <w:sz w:val="24"/>
          <w:szCs w:val="24"/>
        </w:rPr>
        <w:t>Méthodes</w:t>
      </w:r>
    </w:p>
    <w:p w14:paraId="396D8266" w14:textId="6DBA5F61" w:rsidR="700834CF" w:rsidRPr="007A132B" w:rsidRDefault="700834CF" w:rsidP="007A132B">
      <w:pPr>
        <w:pStyle w:val="Titre2"/>
        <w:jc w:val="both"/>
        <w:rPr>
          <w:rFonts w:ascii="Calibri" w:hAnsi="Calibri" w:cs="Calibri"/>
          <w:sz w:val="24"/>
          <w:szCs w:val="24"/>
        </w:rPr>
      </w:pPr>
      <w:r w:rsidRPr="007A132B">
        <w:rPr>
          <w:rFonts w:ascii="Calibri" w:hAnsi="Calibri" w:cs="Calibri"/>
          <w:sz w:val="24"/>
          <w:szCs w:val="24"/>
        </w:rPr>
        <w:t>Participants</w:t>
      </w:r>
    </w:p>
    <w:p w14:paraId="51D7023C" w14:textId="061AA0B1" w:rsidR="700834CF" w:rsidRPr="007A132B" w:rsidRDefault="700834CF" w:rsidP="007A132B">
      <w:pPr>
        <w:jc w:val="both"/>
        <w:rPr>
          <w:rFonts w:ascii="Calibri" w:hAnsi="Calibri" w:cs="Calibri"/>
        </w:rPr>
      </w:pPr>
      <w:r w:rsidRPr="007A132B">
        <w:rPr>
          <w:rFonts w:ascii="Calibri" w:hAnsi="Calibri" w:cs="Calibri"/>
        </w:rPr>
        <w:t>L'étude a inclus 70 adultes (27 femmes, âge moyen 42,9 ans) diagnostiqués avec un trouble de l'usage de cocaïne, hospitalisés pour une cure de désintoxication à Barcelone. Les critères d'inclusion comprenaient l'âge (≥18 ans), l'abstinence initiale, et l'accord pour le suivi ambulatoire. Étaient exclus les patients avec dépendance récente aux opiacés, troubles mentaux graves, ou barrière linguistique.</w:t>
      </w:r>
    </w:p>
    <w:p w14:paraId="413654B7" w14:textId="544CCB96" w:rsidR="700834CF" w:rsidRPr="007A132B" w:rsidRDefault="700834CF" w:rsidP="007A132B">
      <w:pPr>
        <w:pStyle w:val="Titre2"/>
        <w:jc w:val="both"/>
        <w:rPr>
          <w:rFonts w:ascii="Calibri" w:hAnsi="Calibri" w:cs="Calibri"/>
          <w:sz w:val="24"/>
          <w:szCs w:val="24"/>
        </w:rPr>
      </w:pPr>
      <w:r w:rsidRPr="007A132B">
        <w:rPr>
          <w:rFonts w:ascii="Calibri" w:hAnsi="Calibri" w:cs="Calibri"/>
          <w:sz w:val="24"/>
          <w:szCs w:val="24"/>
        </w:rPr>
        <w:t>Procédures</w:t>
      </w:r>
    </w:p>
    <w:p w14:paraId="46B35D6E" w14:textId="42A33CCF" w:rsidR="700834CF" w:rsidRPr="007A132B" w:rsidRDefault="700834CF" w:rsidP="007A132B">
      <w:pPr>
        <w:jc w:val="both"/>
        <w:rPr>
          <w:rFonts w:ascii="Calibri" w:hAnsi="Calibri" w:cs="Calibri"/>
        </w:rPr>
      </w:pPr>
      <w:r w:rsidRPr="007A132B">
        <w:rPr>
          <w:rFonts w:ascii="Calibri" w:hAnsi="Calibri" w:cs="Calibri"/>
        </w:rPr>
        <w:t>L'étude s'inscrit dans un essai clinique randomisé évaluant une TCC en ligne. Les données ont été collectées en trois temps : à l'admission (48-72h après), après la désintoxication de 14 jours, et après le programme ambulatoire de TCC de 8 semaines. Tous les patients ont reçu une prise en charge individualisée et des groupes psychoéducatifs durant l'hospitalisation, suivis d'une randomisation après la sortie entre traitement habituel (TAU) et TAU + TCC en ligne.</w:t>
      </w:r>
    </w:p>
    <w:p w14:paraId="7C2CDE58" w14:textId="29D9F87E" w:rsidR="700834CF" w:rsidRPr="007A132B" w:rsidRDefault="700834CF" w:rsidP="007A132B">
      <w:pPr>
        <w:pStyle w:val="Titre2"/>
        <w:jc w:val="both"/>
        <w:rPr>
          <w:rFonts w:ascii="Calibri" w:hAnsi="Calibri" w:cs="Calibri"/>
          <w:sz w:val="24"/>
          <w:szCs w:val="24"/>
        </w:rPr>
      </w:pPr>
      <w:r w:rsidRPr="007A132B">
        <w:rPr>
          <w:rFonts w:ascii="Calibri" w:hAnsi="Calibri" w:cs="Calibri"/>
          <w:sz w:val="24"/>
          <w:szCs w:val="24"/>
        </w:rPr>
        <w:t>Instruments</w:t>
      </w:r>
    </w:p>
    <w:p w14:paraId="25225442" w14:textId="015ECB1C" w:rsidR="700834CF" w:rsidRPr="007A132B" w:rsidRDefault="700834CF" w:rsidP="007A132B">
      <w:pPr>
        <w:jc w:val="both"/>
        <w:rPr>
          <w:rFonts w:ascii="Calibri" w:hAnsi="Calibri" w:cs="Calibri"/>
        </w:rPr>
      </w:pPr>
      <w:r w:rsidRPr="007A132B">
        <w:rPr>
          <w:rFonts w:ascii="Calibri" w:hAnsi="Calibri" w:cs="Calibri"/>
        </w:rPr>
        <w:t>L'évaluation a porté sur les variables sociodémographiques, la consommation de cocaïne, et les résultats du traitement (abandon et rechute). De nombreuses échelles validées ont mesuré la sévérité de la dépendance (SDS), le craving (WCS), le sevrage (CSSA), la régulation émotionnelle (DERS), le comportement hypersexuel (HBI-19), l'impulsivité (UPPS-P), la psychopathologie (SCL-90-R), la dépression (BDI), l'anxiété (STAI) et la sensibilité à la punition/récompense (SP-SR).</w:t>
      </w:r>
    </w:p>
    <w:p w14:paraId="51A2205D" w14:textId="10DB6F0C" w:rsidR="700834CF" w:rsidRPr="007A132B" w:rsidRDefault="700834CF" w:rsidP="007A132B">
      <w:pPr>
        <w:pStyle w:val="Titre2"/>
        <w:jc w:val="both"/>
        <w:rPr>
          <w:rFonts w:ascii="Calibri" w:hAnsi="Calibri" w:cs="Calibri"/>
          <w:sz w:val="24"/>
          <w:szCs w:val="24"/>
        </w:rPr>
      </w:pPr>
      <w:r w:rsidRPr="007A132B">
        <w:rPr>
          <w:rFonts w:ascii="Calibri" w:hAnsi="Calibri" w:cs="Calibri"/>
          <w:sz w:val="24"/>
          <w:szCs w:val="24"/>
        </w:rPr>
        <w:t>Analyse statistique</w:t>
      </w:r>
    </w:p>
    <w:p w14:paraId="2DD16A0A" w14:textId="73E8F367" w:rsidR="700834CF" w:rsidRPr="007A132B" w:rsidRDefault="700834CF" w:rsidP="007A132B">
      <w:pPr>
        <w:jc w:val="both"/>
        <w:rPr>
          <w:rFonts w:ascii="Calibri" w:hAnsi="Calibri" w:cs="Calibri"/>
        </w:rPr>
      </w:pPr>
      <w:r w:rsidRPr="007A132B">
        <w:rPr>
          <w:rFonts w:ascii="Calibri" w:hAnsi="Calibri" w:cs="Calibri"/>
        </w:rPr>
        <w:t xml:space="preserve">Des tests t ont comparé les groupes (selon la présence de comportement sexuel compulsif probable). Des régressions linéaires et logistiques multiples ont été utilisées pour examiner si les difficultés de régulation émotionnelle et le comportement sexuel compulsif prédisaient les résultats du traitement (abandon et rechute), en tenant compte de la sévérité </w:t>
      </w:r>
      <w:r w:rsidRPr="007A132B">
        <w:rPr>
          <w:rFonts w:ascii="Calibri" w:hAnsi="Calibri" w:cs="Calibri"/>
        </w:rPr>
        <w:lastRenderedPageBreak/>
        <w:t>psychopathologique globale (indice GSI). Les données manquantes étaient traitées comme des abandons.</w:t>
      </w:r>
    </w:p>
    <w:p w14:paraId="3DCCE32E" w14:textId="5560F9FF" w:rsidR="631DB9F2" w:rsidRPr="007A132B" w:rsidRDefault="631DB9F2" w:rsidP="007A132B">
      <w:pPr>
        <w:jc w:val="both"/>
        <w:rPr>
          <w:rFonts w:ascii="Calibri" w:hAnsi="Calibri" w:cs="Calibri"/>
        </w:rPr>
      </w:pPr>
    </w:p>
    <w:p w14:paraId="132F7065" w14:textId="75FEEEA4" w:rsidR="1F5E398D" w:rsidRPr="007A132B" w:rsidRDefault="1F5E398D" w:rsidP="007A132B">
      <w:pPr>
        <w:pStyle w:val="Titre1"/>
        <w:jc w:val="both"/>
        <w:rPr>
          <w:rFonts w:ascii="Calibri" w:hAnsi="Calibri" w:cs="Calibri"/>
          <w:sz w:val="24"/>
          <w:szCs w:val="24"/>
        </w:rPr>
      </w:pPr>
      <w:r w:rsidRPr="007A132B">
        <w:rPr>
          <w:rFonts w:ascii="Calibri" w:hAnsi="Calibri" w:cs="Calibri"/>
          <w:sz w:val="24"/>
          <w:szCs w:val="24"/>
        </w:rPr>
        <w:t>Résultats</w:t>
      </w:r>
    </w:p>
    <w:p w14:paraId="75947D9F" w14:textId="2ECD5A15" w:rsidR="10C60508" w:rsidRPr="007A132B" w:rsidRDefault="10C60508" w:rsidP="007A132B">
      <w:pPr>
        <w:pStyle w:val="Titre2"/>
        <w:jc w:val="both"/>
        <w:rPr>
          <w:rFonts w:ascii="Calibri" w:hAnsi="Calibri" w:cs="Calibri"/>
          <w:sz w:val="24"/>
          <w:szCs w:val="24"/>
        </w:rPr>
      </w:pPr>
      <w:r w:rsidRPr="007A132B">
        <w:rPr>
          <w:rFonts w:ascii="Calibri" w:hAnsi="Calibri" w:cs="Calibri"/>
          <w:sz w:val="24"/>
          <w:szCs w:val="24"/>
        </w:rPr>
        <w:t>1. Prévalence et caractéristiques cliniques</w:t>
      </w:r>
    </w:p>
    <w:p w14:paraId="3234E93A" w14:textId="13EF9692" w:rsidR="10C60508" w:rsidRPr="007A132B" w:rsidRDefault="10C60508" w:rsidP="007A132B">
      <w:pPr>
        <w:jc w:val="both"/>
        <w:rPr>
          <w:rFonts w:ascii="Calibri" w:hAnsi="Calibri" w:cs="Calibri"/>
        </w:rPr>
      </w:pPr>
      <w:r w:rsidRPr="007A132B">
        <w:rPr>
          <w:rFonts w:ascii="Calibri" w:hAnsi="Calibri" w:cs="Calibri"/>
        </w:rPr>
        <w:t xml:space="preserve">Dans l'échantillon, </w:t>
      </w:r>
      <w:r w:rsidRPr="007A132B">
        <w:rPr>
          <w:rFonts w:ascii="Calibri" w:hAnsi="Calibri" w:cs="Calibri"/>
          <w:color w:val="FF0000"/>
        </w:rPr>
        <w:t>11,4 %</w:t>
      </w:r>
      <w:r w:rsidRPr="007A132B">
        <w:rPr>
          <w:rFonts w:ascii="Calibri" w:hAnsi="Calibri" w:cs="Calibri"/>
        </w:rPr>
        <w:t xml:space="preserve"> des participants présentaient un trouble du comportement sexuel compulsif (CS</w:t>
      </w:r>
      <w:r w:rsidR="0B3180E0" w:rsidRPr="007A132B">
        <w:rPr>
          <w:rFonts w:ascii="Calibri" w:hAnsi="Calibri" w:cs="Calibri"/>
        </w:rPr>
        <w:t>C</w:t>
      </w:r>
      <w:r w:rsidRPr="007A132B">
        <w:rPr>
          <w:rFonts w:ascii="Calibri" w:hAnsi="Calibri" w:cs="Calibri"/>
        </w:rPr>
        <w:t>) probable. Ce groupe se distinguait par une durée de consommation de cocaïne plus courte, mais des niveaux de benzoylecgonine plus élevés. Il présentait également davantage de symptômes psychopathologiques (anxiété, hostilité, psychoticisme, dépression), des traits de personnalité marqués par l'urgence négative et positive, une plus grande sensibilité à la récompense, ainsi que d'importantes difficultés de régulation émotionnelle.</w:t>
      </w:r>
    </w:p>
    <w:p w14:paraId="1EBC716F" w14:textId="0645427C" w:rsidR="10C60508" w:rsidRPr="007A132B" w:rsidRDefault="10C60508" w:rsidP="007A132B">
      <w:pPr>
        <w:pStyle w:val="Titre2"/>
        <w:jc w:val="both"/>
        <w:rPr>
          <w:rFonts w:ascii="Calibri" w:hAnsi="Calibri" w:cs="Calibri"/>
          <w:sz w:val="24"/>
          <w:szCs w:val="24"/>
        </w:rPr>
      </w:pPr>
      <w:r w:rsidRPr="007A132B">
        <w:rPr>
          <w:rFonts w:ascii="Calibri" w:hAnsi="Calibri" w:cs="Calibri"/>
          <w:sz w:val="24"/>
          <w:szCs w:val="24"/>
        </w:rPr>
        <w:t>2. Abandon du traitement et rechute</w:t>
      </w:r>
    </w:p>
    <w:p w14:paraId="761F320D" w14:textId="6C8A8A21" w:rsidR="10C60508" w:rsidRPr="007A132B" w:rsidRDefault="10C60508" w:rsidP="007A132B">
      <w:pPr>
        <w:jc w:val="both"/>
        <w:rPr>
          <w:rFonts w:ascii="Calibri" w:hAnsi="Calibri" w:cs="Calibri"/>
        </w:rPr>
      </w:pPr>
      <w:r w:rsidRPr="007A132B">
        <w:rPr>
          <w:rFonts w:ascii="Calibri" w:hAnsi="Calibri" w:cs="Calibri"/>
        </w:rPr>
        <w:t xml:space="preserve">Le </w:t>
      </w:r>
      <w:r w:rsidR="0A3C16F9" w:rsidRPr="007A132B">
        <w:rPr>
          <w:rFonts w:ascii="Calibri" w:hAnsi="Calibri" w:cs="Calibri"/>
          <w:color w:val="FF0000"/>
        </w:rPr>
        <w:t xml:space="preserve">CSC </w:t>
      </w:r>
      <w:r w:rsidRPr="007A132B">
        <w:rPr>
          <w:rFonts w:ascii="Calibri" w:hAnsi="Calibri" w:cs="Calibri"/>
        </w:rPr>
        <w:t>probable était associé à un taux d'</w:t>
      </w:r>
      <w:r w:rsidRPr="007A132B">
        <w:rPr>
          <w:rFonts w:ascii="Calibri" w:hAnsi="Calibri" w:cs="Calibri"/>
          <w:color w:val="FF0000"/>
        </w:rPr>
        <w:t>abandon</w:t>
      </w:r>
      <w:r w:rsidRPr="007A132B">
        <w:rPr>
          <w:rFonts w:ascii="Calibri" w:hAnsi="Calibri" w:cs="Calibri"/>
        </w:rPr>
        <w:t xml:space="preserve"> significativement plus élevé après le </w:t>
      </w:r>
      <w:r w:rsidRPr="007A132B">
        <w:rPr>
          <w:rFonts w:ascii="Calibri" w:hAnsi="Calibri" w:cs="Calibri"/>
          <w:color w:val="FF0000"/>
        </w:rPr>
        <w:t>traitement hospitalier,</w:t>
      </w:r>
      <w:r w:rsidRPr="007A132B">
        <w:rPr>
          <w:rFonts w:ascii="Calibri" w:hAnsi="Calibri" w:cs="Calibri"/>
        </w:rPr>
        <w:t xml:space="preserve"> mais pas après le traitement ambulatoire. Aucune différence significative de taux de rechute n'a été observée entre les groupes.</w:t>
      </w:r>
    </w:p>
    <w:p w14:paraId="1E86435E" w14:textId="3807AFE1" w:rsidR="10C60508" w:rsidRPr="007A132B" w:rsidRDefault="10C60508" w:rsidP="007A132B">
      <w:pPr>
        <w:pStyle w:val="Titre2"/>
        <w:jc w:val="both"/>
        <w:rPr>
          <w:rFonts w:ascii="Calibri" w:hAnsi="Calibri" w:cs="Calibri"/>
          <w:sz w:val="24"/>
          <w:szCs w:val="24"/>
        </w:rPr>
      </w:pPr>
      <w:r w:rsidRPr="007A132B">
        <w:rPr>
          <w:rFonts w:ascii="Calibri" w:hAnsi="Calibri" w:cs="Calibri"/>
          <w:sz w:val="24"/>
          <w:szCs w:val="24"/>
        </w:rPr>
        <w:t>3. Régulation émotionnelle comme prédicteur</w:t>
      </w:r>
    </w:p>
    <w:p w14:paraId="2482E4BA" w14:textId="2FFA5B4D" w:rsidR="10C60508" w:rsidRPr="007A132B" w:rsidRDefault="10C60508" w:rsidP="007A132B">
      <w:pPr>
        <w:jc w:val="both"/>
        <w:rPr>
          <w:rFonts w:ascii="Calibri" w:hAnsi="Calibri" w:cs="Calibri"/>
        </w:rPr>
      </w:pPr>
      <w:r w:rsidRPr="007A132B">
        <w:rPr>
          <w:rFonts w:ascii="Calibri" w:hAnsi="Calibri" w:cs="Calibri"/>
        </w:rPr>
        <w:t xml:space="preserve">Trois </w:t>
      </w:r>
      <w:r w:rsidRPr="007A132B">
        <w:rPr>
          <w:rFonts w:ascii="Calibri" w:hAnsi="Calibri" w:cs="Calibri"/>
          <w:color w:val="FF0000"/>
        </w:rPr>
        <w:t>difficultés de régulation émotionnelle</w:t>
      </w:r>
      <w:r w:rsidRPr="007A132B">
        <w:rPr>
          <w:rFonts w:ascii="Calibri" w:hAnsi="Calibri" w:cs="Calibri"/>
        </w:rPr>
        <w:t xml:space="preserve"> à l'admission (contrôle des impulsions, manque de conscience émotionnelle et accès limité aux stratégies de régulation) prédisaient </w:t>
      </w:r>
      <w:r w:rsidRPr="007A132B">
        <w:rPr>
          <w:rFonts w:ascii="Calibri" w:hAnsi="Calibri" w:cs="Calibri"/>
          <w:color w:val="FF0000"/>
        </w:rPr>
        <w:t>42,4 %</w:t>
      </w:r>
      <w:r w:rsidRPr="007A132B">
        <w:rPr>
          <w:rFonts w:ascii="Calibri" w:hAnsi="Calibri" w:cs="Calibri"/>
        </w:rPr>
        <w:t xml:space="preserve"> de la variance des scores de </w:t>
      </w:r>
      <w:r w:rsidRPr="007A132B">
        <w:rPr>
          <w:rFonts w:ascii="Calibri" w:hAnsi="Calibri" w:cs="Calibri"/>
          <w:color w:val="FF0000"/>
        </w:rPr>
        <w:t>CS</w:t>
      </w:r>
      <w:r w:rsidR="21249A89" w:rsidRPr="007A132B">
        <w:rPr>
          <w:rFonts w:ascii="Calibri" w:hAnsi="Calibri" w:cs="Calibri"/>
          <w:color w:val="FF0000"/>
        </w:rPr>
        <w:t>C</w:t>
      </w:r>
      <w:r w:rsidRPr="007A132B">
        <w:rPr>
          <w:rFonts w:ascii="Calibri" w:hAnsi="Calibri" w:cs="Calibri"/>
          <w:color w:val="FF0000"/>
        </w:rPr>
        <w:t xml:space="preserve"> </w:t>
      </w:r>
      <w:r w:rsidRPr="007A132B">
        <w:rPr>
          <w:rFonts w:ascii="Calibri" w:hAnsi="Calibri" w:cs="Calibri"/>
        </w:rPr>
        <w:t>en fin de traitement ambulatoire.</w:t>
      </w:r>
    </w:p>
    <w:p w14:paraId="1559ABBE" w14:textId="784A8648" w:rsidR="10C60508" w:rsidRPr="007A132B" w:rsidRDefault="10C60508" w:rsidP="007A132B">
      <w:pPr>
        <w:pStyle w:val="Titre2"/>
        <w:jc w:val="both"/>
        <w:rPr>
          <w:rFonts w:ascii="Calibri" w:hAnsi="Calibri" w:cs="Calibri"/>
          <w:sz w:val="24"/>
          <w:szCs w:val="24"/>
        </w:rPr>
      </w:pPr>
      <w:r w:rsidRPr="007A132B">
        <w:rPr>
          <w:rFonts w:ascii="Calibri" w:hAnsi="Calibri" w:cs="Calibri"/>
          <w:sz w:val="24"/>
          <w:szCs w:val="24"/>
        </w:rPr>
        <w:t>4. CS</w:t>
      </w:r>
      <w:r w:rsidR="09A7F888" w:rsidRPr="007A132B">
        <w:rPr>
          <w:rFonts w:ascii="Calibri" w:hAnsi="Calibri" w:cs="Calibri"/>
          <w:sz w:val="24"/>
          <w:szCs w:val="24"/>
        </w:rPr>
        <w:t>C</w:t>
      </w:r>
      <w:r w:rsidRPr="007A132B">
        <w:rPr>
          <w:rFonts w:ascii="Calibri" w:hAnsi="Calibri" w:cs="Calibri"/>
          <w:sz w:val="24"/>
          <w:szCs w:val="24"/>
        </w:rPr>
        <w:t xml:space="preserve"> comme facteur prédictif indépendant</w:t>
      </w:r>
    </w:p>
    <w:p w14:paraId="1DBF02F5" w14:textId="6463AF95" w:rsidR="10C60508" w:rsidRPr="007A132B" w:rsidRDefault="10C60508" w:rsidP="007A132B">
      <w:pPr>
        <w:jc w:val="both"/>
        <w:rPr>
          <w:rFonts w:ascii="Calibri" w:hAnsi="Calibri" w:cs="Calibri"/>
        </w:rPr>
      </w:pPr>
      <w:r w:rsidRPr="007A132B">
        <w:rPr>
          <w:rFonts w:ascii="Calibri" w:hAnsi="Calibri" w:cs="Calibri"/>
        </w:rPr>
        <w:t xml:space="preserve">La présence d'un </w:t>
      </w:r>
      <w:r w:rsidRPr="007A132B">
        <w:rPr>
          <w:rFonts w:ascii="Calibri" w:hAnsi="Calibri" w:cs="Calibri"/>
          <w:color w:val="FF0000"/>
        </w:rPr>
        <w:t>CS</w:t>
      </w:r>
      <w:r w:rsidR="7025F15A" w:rsidRPr="007A132B">
        <w:rPr>
          <w:rFonts w:ascii="Calibri" w:hAnsi="Calibri" w:cs="Calibri"/>
          <w:color w:val="FF0000"/>
        </w:rPr>
        <w:t xml:space="preserve">C </w:t>
      </w:r>
      <w:r w:rsidRPr="007A132B">
        <w:rPr>
          <w:rFonts w:ascii="Calibri" w:hAnsi="Calibri" w:cs="Calibri"/>
        </w:rPr>
        <w:t>probable prédisait l'</w:t>
      </w:r>
      <w:r w:rsidRPr="007A132B">
        <w:rPr>
          <w:rFonts w:ascii="Calibri" w:hAnsi="Calibri" w:cs="Calibri"/>
          <w:color w:val="FF0000"/>
        </w:rPr>
        <w:t>abandon</w:t>
      </w:r>
      <w:r w:rsidRPr="007A132B">
        <w:rPr>
          <w:rFonts w:ascii="Calibri" w:hAnsi="Calibri" w:cs="Calibri"/>
        </w:rPr>
        <w:t xml:space="preserve"> en cours de </w:t>
      </w:r>
      <w:r w:rsidRPr="007A132B">
        <w:rPr>
          <w:rFonts w:ascii="Calibri" w:hAnsi="Calibri" w:cs="Calibri"/>
          <w:color w:val="FF0000"/>
        </w:rPr>
        <w:t>traitement hospitalier</w:t>
      </w:r>
      <w:r w:rsidRPr="007A132B">
        <w:rPr>
          <w:rFonts w:ascii="Calibri" w:hAnsi="Calibri" w:cs="Calibri"/>
        </w:rPr>
        <w:t>, indépendamment de la charge psychopathologique générale, mais ne prédisait ni l'abandon du traitement ambulatoire ni la rechute.</w:t>
      </w:r>
    </w:p>
    <w:p w14:paraId="0A0C8C3D" w14:textId="0434A7D0" w:rsidR="631DB9F2" w:rsidRPr="007A132B" w:rsidRDefault="631DB9F2" w:rsidP="007A132B">
      <w:pPr>
        <w:jc w:val="both"/>
        <w:rPr>
          <w:rFonts w:ascii="Calibri" w:hAnsi="Calibri" w:cs="Calibri"/>
        </w:rPr>
      </w:pPr>
    </w:p>
    <w:p w14:paraId="545AA4C2" w14:textId="6C2FB873" w:rsidR="109ECEEE" w:rsidRPr="007A132B" w:rsidRDefault="109ECEEE" w:rsidP="007A132B">
      <w:pPr>
        <w:pStyle w:val="Titre1"/>
        <w:jc w:val="both"/>
        <w:rPr>
          <w:rFonts w:ascii="Calibri" w:hAnsi="Calibri" w:cs="Calibri"/>
          <w:sz w:val="24"/>
          <w:szCs w:val="24"/>
        </w:rPr>
      </w:pPr>
      <w:r w:rsidRPr="007A132B">
        <w:rPr>
          <w:rFonts w:ascii="Calibri" w:hAnsi="Calibri" w:cs="Calibri"/>
          <w:sz w:val="24"/>
          <w:szCs w:val="24"/>
        </w:rPr>
        <w:t xml:space="preserve">Discussion </w:t>
      </w:r>
    </w:p>
    <w:p w14:paraId="37FE0920" w14:textId="03E8FF08" w:rsidR="109ECEEE" w:rsidRPr="007A132B" w:rsidRDefault="109ECEEE" w:rsidP="007A132B">
      <w:pPr>
        <w:jc w:val="both"/>
        <w:rPr>
          <w:rFonts w:ascii="Calibri" w:hAnsi="Calibri" w:cs="Calibri"/>
        </w:rPr>
      </w:pPr>
      <w:r w:rsidRPr="007A132B">
        <w:rPr>
          <w:rFonts w:ascii="Calibri" w:hAnsi="Calibri" w:cs="Calibri"/>
        </w:rPr>
        <w:t xml:space="preserve">Cette étude visait à caractériser la CSC (comportement sexuel compulsif) probable chez des patients traités pour un trouble de l'usage de la cocaïne (TUC). </w:t>
      </w:r>
      <w:r w:rsidRPr="007A132B">
        <w:rPr>
          <w:rFonts w:ascii="Calibri" w:hAnsi="Calibri" w:cs="Calibri"/>
          <w:color w:val="FF0000"/>
        </w:rPr>
        <w:t>11,4 %</w:t>
      </w:r>
      <w:r w:rsidRPr="007A132B">
        <w:rPr>
          <w:rFonts w:ascii="Calibri" w:hAnsi="Calibri" w:cs="Calibri"/>
        </w:rPr>
        <w:t xml:space="preserve"> des patients présentaient une </w:t>
      </w:r>
      <w:r w:rsidRPr="007A132B">
        <w:rPr>
          <w:rFonts w:ascii="Calibri" w:hAnsi="Calibri" w:cs="Calibri"/>
          <w:color w:val="FF0000"/>
        </w:rPr>
        <w:t>CSC probable</w:t>
      </w:r>
      <w:r w:rsidRPr="007A132B">
        <w:rPr>
          <w:rFonts w:ascii="Calibri" w:hAnsi="Calibri" w:cs="Calibri"/>
        </w:rPr>
        <w:t xml:space="preserve">. Ces patients avaient des </w:t>
      </w:r>
      <w:r w:rsidRPr="007A132B">
        <w:rPr>
          <w:rFonts w:ascii="Calibri" w:hAnsi="Calibri" w:cs="Calibri"/>
          <w:color w:val="FF0000"/>
        </w:rPr>
        <w:t xml:space="preserve">niveaux </w:t>
      </w:r>
      <w:r w:rsidRPr="007A132B">
        <w:rPr>
          <w:rFonts w:ascii="Calibri" w:hAnsi="Calibri" w:cs="Calibri"/>
        </w:rPr>
        <w:t xml:space="preserve">plus </w:t>
      </w:r>
      <w:r w:rsidRPr="007A132B">
        <w:rPr>
          <w:rFonts w:ascii="Calibri" w:hAnsi="Calibri" w:cs="Calibri"/>
          <w:color w:val="FF0000"/>
        </w:rPr>
        <w:t xml:space="preserve">élevés </w:t>
      </w:r>
      <w:r w:rsidRPr="007A132B">
        <w:rPr>
          <w:rFonts w:ascii="Calibri" w:hAnsi="Calibri" w:cs="Calibri"/>
        </w:rPr>
        <w:t xml:space="preserve">de </w:t>
      </w:r>
      <w:r w:rsidRPr="007A132B">
        <w:rPr>
          <w:rFonts w:ascii="Calibri" w:hAnsi="Calibri" w:cs="Calibri"/>
          <w:color w:val="FF0000"/>
        </w:rPr>
        <w:t>métabolites de cocaïne</w:t>
      </w:r>
      <w:r w:rsidRPr="007A132B">
        <w:rPr>
          <w:rFonts w:ascii="Calibri" w:hAnsi="Calibri" w:cs="Calibri"/>
        </w:rPr>
        <w:t xml:space="preserve"> au début du sevrage, </w:t>
      </w:r>
      <w:r w:rsidRPr="007A132B">
        <w:rPr>
          <w:rFonts w:ascii="Calibri" w:hAnsi="Calibri" w:cs="Calibri"/>
          <w:color w:val="FF0000"/>
        </w:rPr>
        <w:t>davantage de symptômes psychopathologiques</w:t>
      </w:r>
      <w:r w:rsidRPr="007A132B">
        <w:rPr>
          <w:rFonts w:ascii="Calibri" w:hAnsi="Calibri" w:cs="Calibri"/>
        </w:rPr>
        <w:t xml:space="preserve"> (anxiété, dépression, hostilité) et une </w:t>
      </w:r>
      <w:r w:rsidRPr="007A132B">
        <w:rPr>
          <w:rFonts w:ascii="Calibri" w:hAnsi="Calibri" w:cs="Calibri"/>
          <w:color w:val="FF0000"/>
        </w:rPr>
        <w:t>détresse émotionnelle</w:t>
      </w:r>
      <w:r w:rsidRPr="007A132B">
        <w:rPr>
          <w:rFonts w:ascii="Calibri" w:hAnsi="Calibri" w:cs="Calibri"/>
        </w:rPr>
        <w:t xml:space="preserve"> plus intense.</w:t>
      </w:r>
    </w:p>
    <w:p w14:paraId="2D762718" w14:textId="1BBFE8D5" w:rsidR="109ECEEE" w:rsidRPr="007A132B" w:rsidRDefault="109ECEEE" w:rsidP="007A132B">
      <w:pPr>
        <w:jc w:val="both"/>
        <w:rPr>
          <w:rFonts w:ascii="Calibri" w:hAnsi="Calibri" w:cs="Calibri"/>
        </w:rPr>
      </w:pPr>
      <w:r w:rsidRPr="007A132B">
        <w:rPr>
          <w:rFonts w:ascii="Calibri" w:hAnsi="Calibri" w:cs="Calibri"/>
        </w:rPr>
        <w:t xml:space="preserve">Ils présentaient aussi des </w:t>
      </w:r>
      <w:r w:rsidRPr="007A132B">
        <w:rPr>
          <w:rFonts w:ascii="Calibri" w:hAnsi="Calibri" w:cs="Calibri"/>
          <w:color w:val="FF0000"/>
        </w:rPr>
        <w:t xml:space="preserve">déficits </w:t>
      </w:r>
      <w:r w:rsidRPr="007A132B">
        <w:rPr>
          <w:rFonts w:ascii="Calibri" w:hAnsi="Calibri" w:cs="Calibri"/>
        </w:rPr>
        <w:t xml:space="preserve">marqués de </w:t>
      </w:r>
      <w:r w:rsidRPr="007A132B">
        <w:rPr>
          <w:rFonts w:ascii="Calibri" w:hAnsi="Calibri" w:cs="Calibri"/>
          <w:color w:val="FF0000"/>
        </w:rPr>
        <w:t>régulation émotionnelle</w:t>
      </w:r>
      <w:r w:rsidRPr="007A132B">
        <w:rPr>
          <w:rFonts w:ascii="Calibri" w:hAnsi="Calibri" w:cs="Calibri"/>
        </w:rPr>
        <w:t xml:space="preserve"> (RE), notamment un faible contrôle des impulsions, ainsi qu'une personnalité marquée par l'urgence (tendance à agir impulsivement face aux émotions). </w:t>
      </w:r>
      <w:r w:rsidRPr="007A132B">
        <w:rPr>
          <w:rFonts w:ascii="Calibri" w:hAnsi="Calibri" w:cs="Calibri"/>
          <w:color w:val="FF0000"/>
        </w:rPr>
        <w:t>37,5 %</w:t>
      </w:r>
      <w:r w:rsidRPr="007A132B">
        <w:rPr>
          <w:rFonts w:ascii="Calibri" w:hAnsi="Calibri" w:cs="Calibri"/>
        </w:rPr>
        <w:t xml:space="preserve"> des patients avec </w:t>
      </w:r>
      <w:r w:rsidRPr="007A132B">
        <w:rPr>
          <w:rFonts w:ascii="Calibri" w:hAnsi="Calibri" w:cs="Calibri"/>
          <w:color w:val="FF0000"/>
        </w:rPr>
        <w:t>CS</w:t>
      </w:r>
      <w:r w:rsidR="0889031D" w:rsidRPr="007A132B">
        <w:rPr>
          <w:rFonts w:ascii="Calibri" w:hAnsi="Calibri" w:cs="Calibri"/>
          <w:color w:val="FF0000"/>
        </w:rPr>
        <w:t xml:space="preserve">C </w:t>
      </w:r>
      <w:r w:rsidRPr="007A132B">
        <w:rPr>
          <w:rFonts w:ascii="Calibri" w:hAnsi="Calibri" w:cs="Calibri"/>
        </w:rPr>
        <w:t xml:space="preserve">probable ont </w:t>
      </w:r>
      <w:r w:rsidRPr="007A132B">
        <w:rPr>
          <w:rFonts w:ascii="Calibri" w:hAnsi="Calibri" w:cs="Calibri"/>
          <w:color w:val="FF0000"/>
        </w:rPr>
        <w:t xml:space="preserve">abandonné </w:t>
      </w:r>
      <w:r w:rsidRPr="007A132B">
        <w:rPr>
          <w:rFonts w:ascii="Calibri" w:hAnsi="Calibri" w:cs="Calibri"/>
        </w:rPr>
        <w:lastRenderedPageBreak/>
        <w:t>le traitement après la désintoxication hospitalière, ce qui suggère que la CS</w:t>
      </w:r>
      <w:r w:rsidR="05A032AB" w:rsidRPr="007A132B">
        <w:rPr>
          <w:rFonts w:ascii="Calibri" w:hAnsi="Calibri" w:cs="Calibri"/>
        </w:rPr>
        <w:t>C</w:t>
      </w:r>
      <w:r w:rsidRPr="007A132B">
        <w:rPr>
          <w:rFonts w:ascii="Calibri" w:hAnsi="Calibri" w:cs="Calibri"/>
        </w:rPr>
        <w:t xml:space="preserve"> est un facteur de risque d'abandon indépendant de la psychopathologie générale.</w:t>
      </w:r>
    </w:p>
    <w:p w14:paraId="784C5053" w14:textId="1ACA7123" w:rsidR="109ECEEE" w:rsidRPr="007A132B" w:rsidRDefault="109ECEEE" w:rsidP="007A132B">
      <w:pPr>
        <w:jc w:val="both"/>
        <w:rPr>
          <w:rFonts w:ascii="Calibri" w:hAnsi="Calibri" w:cs="Calibri"/>
        </w:rPr>
      </w:pPr>
      <w:r w:rsidRPr="007A132B">
        <w:rPr>
          <w:rFonts w:ascii="Calibri" w:hAnsi="Calibri" w:cs="Calibri"/>
        </w:rPr>
        <w:t xml:space="preserve">Les </w:t>
      </w:r>
      <w:r w:rsidRPr="007A132B">
        <w:rPr>
          <w:rFonts w:ascii="Calibri" w:hAnsi="Calibri" w:cs="Calibri"/>
          <w:color w:val="FF0000"/>
        </w:rPr>
        <w:t>difficultés de RE</w:t>
      </w:r>
      <w:r w:rsidRPr="007A132B">
        <w:rPr>
          <w:rFonts w:ascii="Calibri" w:hAnsi="Calibri" w:cs="Calibri"/>
        </w:rPr>
        <w:t xml:space="preserve"> à l'entrée en traitement, surtout le </w:t>
      </w:r>
      <w:r w:rsidRPr="007A132B">
        <w:rPr>
          <w:rFonts w:ascii="Calibri" w:hAnsi="Calibri" w:cs="Calibri"/>
          <w:color w:val="FF0000"/>
        </w:rPr>
        <w:t>contrôle des impulsions</w:t>
      </w:r>
      <w:r w:rsidRPr="007A132B">
        <w:rPr>
          <w:rFonts w:ascii="Calibri" w:hAnsi="Calibri" w:cs="Calibri"/>
        </w:rPr>
        <w:t xml:space="preserve">, étaient de forts </w:t>
      </w:r>
      <w:r w:rsidRPr="007A132B">
        <w:rPr>
          <w:rFonts w:ascii="Calibri" w:hAnsi="Calibri" w:cs="Calibri"/>
          <w:color w:val="FF0000"/>
        </w:rPr>
        <w:t>prédicteurs de CS</w:t>
      </w:r>
      <w:r w:rsidR="3304DC94" w:rsidRPr="007A132B">
        <w:rPr>
          <w:rFonts w:ascii="Calibri" w:hAnsi="Calibri" w:cs="Calibri"/>
          <w:color w:val="FF0000"/>
        </w:rPr>
        <w:t>C</w:t>
      </w:r>
      <w:r w:rsidRPr="007A132B">
        <w:rPr>
          <w:rFonts w:ascii="Calibri" w:hAnsi="Calibri" w:cs="Calibri"/>
          <w:color w:val="FF0000"/>
        </w:rPr>
        <w:t xml:space="preserve"> </w:t>
      </w:r>
      <w:r w:rsidRPr="007A132B">
        <w:rPr>
          <w:rFonts w:ascii="Calibri" w:hAnsi="Calibri" w:cs="Calibri"/>
        </w:rPr>
        <w:t xml:space="preserve">après le programme ambulatoire. </w:t>
      </w:r>
    </w:p>
    <w:p w14:paraId="159F55EF" w14:textId="6CB2B543" w:rsidR="109ECEEE" w:rsidRPr="007A132B" w:rsidRDefault="109ECEEE" w:rsidP="007A132B">
      <w:pPr>
        <w:jc w:val="both"/>
        <w:rPr>
          <w:rFonts w:ascii="Calibri" w:hAnsi="Calibri" w:cs="Calibri"/>
        </w:rPr>
      </w:pPr>
      <w:r w:rsidRPr="007A132B">
        <w:rPr>
          <w:rFonts w:ascii="Calibri" w:hAnsi="Calibri" w:cs="Calibri"/>
          <w:color w:val="FF0000"/>
        </w:rPr>
        <w:t>Étonnamment</w:t>
      </w:r>
      <w:r w:rsidRPr="007A132B">
        <w:rPr>
          <w:rFonts w:ascii="Calibri" w:hAnsi="Calibri" w:cs="Calibri"/>
        </w:rPr>
        <w:t xml:space="preserve">, le </w:t>
      </w:r>
      <w:r w:rsidRPr="007A132B">
        <w:rPr>
          <w:rFonts w:ascii="Calibri" w:hAnsi="Calibri" w:cs="Calibri"/>
          <w:color w:val="FF0000"/>
        </w:rPr>
        <w:t>manque de conscience émotionnelle</w:t>
      </w:r>
      <w:r w:rsidRPr="007A132B">
        <w:rPr>
          <w:rFonts w:ascii="Calibri" w:hAnsi="Calibri" w:cs="Calibri"/>
        </w:rPr>
        <w:t xml:space="preserve"> prédisait </w:t>
      </w:r>
      <w:r w:rsidRPr="007A132B">
        <w:rPr>
          <w:rFonts w:ascii="Calibri" w:hAnsi="Calibri" w:cs="Calibri"/>
          <w:color w:val="FF0000"/>
        </w:rPr>
        <w:t>moins de CS</w:t>
      </w:r>
      <w:r w:rsidR="4DEBC7D6" w:rsidRPr="007A132B">
        <w:rPr>
          <w:rFonts w:ascii="Calibri" w:hAnsi="Calibri" w:cs="Calibri"/>
          <w:color w:val="FF0000"/>
        </w:rPr>
        <w:t>C</w:t>
      </w:r>
      <w:r w:rsidR="4DEBC7D6" w:rsidRPr="007A132B">
        <w:rPr>
          <w:rFonts w:ascii="Calibri" w:hAnsi="Calibri" w:cs="Calibri"/>
        </w:rPr>
        <w:t xml:space="preserve"> </w:t>
      </w:r>
      <w:r w:rsidRPr="007A132B">
        <w:rPr>
          <w:rFonts w:ascii="Calibri" w:hAnsi="Calibri" w:cs="Calibri"/>
        </w:rPr>
        <w:t xml:space="preserve">en sortie, peut-être grâce aux </w:t>
      </w:r>
      <w:r w:rsidRPr="007A132B">
        <w:rPr>
          <w:rFonts w:ascii="Calibri" w:hAnsi="Calibri" w:cs="Calibri"/>
          <w:color w:val="FF0000"/>
        </w:rPr>
        <w:t>compétences acquises</w:t>
      </w:r>
      <w:r w:rsidRPr="007A132B">
        <w:rPr>
          <w:rFonts w:ascii="Calibri" w:hAnsi="Calibri" w:cs="Calibri"/>
        </w:rPr>
        <w:t xml:space="preserve"> pendant la thérapie. Le programme ambulatoire, bien que visant le TUC, semble avoir indirectement aidé à gérer l</w:t>
      </w:r>
      <w:r w:rsidR="423CD4E0" w:rsidRPr="007A132B">
        <w:rPr>
          <w:rFonts w:ascii="Calibri" w:hAnsi="Calibri" w:cs="Calibri"/>
        </w:rPr>
        <w:t>e</w:t>
      </w:r>
      <w:r w:rsidRPr="007A132B">
        <w:rPr>
          <w:rFonts w:ascii="Calibri" w:hAnsi="Calibri" w:cs="Calibri"/>
        </w:rPr>
        <w:t xml:space="preserve"> CS</w:t>
      </w:r>
      <w:r w:rsidR="5E5BC34D" w:rsidRPr="007A132B">
        <w:rPr>
          <w:rFonts w:ascii="Calibri" w:hAnsi="Calibri" w:cs="Calibri"/>
        </w:rPr>
        <w:t>C</w:t>
      </w:r>
      <w:r w:rsidRPr="007A132B">
        <w:rPr>
          <w:rFonts w:ascii="Calibri" w:hAnsi="Calibri" w:cs="Calibri"/>
        </w:rPr>
        <w:t>, car les patients avec CS</w:t>
      </w:r>
      <w:r w:rsidR="2D44AFFB" w:rsidRPr="007A132B">
        <w:rPr>
          <w:rFonts w:ascii="Calibri" w:hAnsi="Calibri" w:cs="Calibri"/>
        </w:rPr>
        <w:t>C</w:t>
      </w:r>
      <w:r w:rsidRPr="007A132B">
        <w:rPr>
          <w:rFonts w:ascii="Calibri" w:hAnsi="Calibri" w:cs="Calibri"/>
        </w:rPr>
        <w:t xml:space="preserve"> probable n'ont pas davantage abandonné pendant cette phase.</w:t>
      </w:r>
    </w:p>
    <w:p w14:paraId="34760033" w14:textId="5556E532" w:rsidR="109ECEEE" w:rsidRPr="007A132B" w:rsidRDefault="109ECEEE" w:rsidP="007A132B">
      <w:pPr>
        <w:jc w:val="both"/>
        <w:rPr>
          <w:rFonts w:ascii="Calibri" w:hAnsi="Calibri" w:cs="Calibri"/>
        </w:rPr>
      </w:pPr>
      <w:r w:rsidRPr="007A132B">
        <w:rPr>
          <w:rFonts w:ascii="Calibri" w:hAnsi="Calibri" w:cs="Calibri"/>
        </w:rPr>
        <w:t xml:space="preserve">Le message central est que la </w:t>
      </w:r>
      <w:r w:rsidRPr="007A132B">
        <w:rPr>
          <w:rFonts w:ascii="Calibri" w:hAnsi="Calibri" w:cs="Calibri"/>
          <w:color w:val="FF0000"/>
        </w:rPr>
        <w:t xml:space="preserve">RE </w:t>
      </w:r>
      <w:r w:rsidRPr="007A132B">
        <w:rPr>
          <w:rFonts w:ascii="Calibri" w:hAnsi="Calibri" w:cs="Calibri"/>
        </w:rPr>
        <w:t xml:space="preserve">est un </w:t>
      </w:r>
      <w:r w:rsidRPr="007A132B">
        <w:rPr>
          <w:rFonts w:ascii="Calibri" w:hAnsi="Calibri" w:cs="Calibri"/>
          <w:color w:val="FF0000"/>
        </w:rPr>
        <w:t xml:space="preserve">mécanisme </w:t>
      </w:r>
      <w:r w:rsidR="1B9DB417" w:rsidRPr="007A132B">
        <w:rPr>
          <w:rFonts w:ascii="Calibri" w:hAnsi="Calibri" w:cs="Calibri"/>
          <w:color w:val="FF0000"/>
        </w:rPr>
        <w:t>Trans diagnostique</w:t>
      </w:r>
      <w:r w:rsidRPr="007A132B">
        <w:rPr>
          <w:rFonts w:ascii="Calibri" w:hAnsi="Calibri" w:cs="Calibri"/>
        </w:rPr>
        <w:t xml:space="preserve"> clé. Dépister et traiter précocement l</w:t>
      </w:r>
      <w:r w:rsidR="0642A1D5" w:rsidRPr="007A132B">
        <w:rPr>
          <w:rFonts w:ascii="Calibri" w:hAnsi="Calibri" w:cs="Calibri"/>
        </w:rPr>
        <w:t>e</w:t>
      </w:r>
      <w:r w:rsidRPr="007A132B">
        <w:rPr>
          <w:rFonts w:ascii="Calibri" w:hAnsi="Calibri" w:cs="Calibri"/>
        </w:rPr>
        <w:t xml:space="preserve"> CS</w:t>
      </w:r>
      <w:r w:rsidR="0CA8BF2D" w:rsidRPr="007A132B">
        <w:rPr>
          <w:rFonts w:ascii="Calibri" w:hAnsi="Calibri" w:cs="Calibri"/>
        </w:rPr>
        <w:t>C</w:t>
      </w:r>
      <w:r w:rsidRPr="007A132B">
        <w:rPr>
          <w:rFonts w:ascii="Calibri" w:hAnsi="Calibri" w:cs="Calibri"/>
        </w:rPr>
        <w:t xml:space="preserve"> et les difficultés de contrôle des impulsions — après la phase aiguë de sevrage — pourrait améliorer les résultats thérapeutiques et prévenir les rechutes croisées. Des approches comme la </w:t>
      </w:r>
      <w:r w:rsidRPr="007A132B">
        <w:rPr>
          <w:rFonts w:ascii="Calibri" w:hAnsi="Calibri" w:cs="Calibri"/>
          <w:color w:val="FF0000"/>
        </w:rPr>
        <w:t xml:space="preserve">TCC </w:t>
      </w:r>
      <w:r w:rsidRPr="007A132B">
        <w:rPr>
          <w:rFonts w:ascii="Calibri" w:hAnsi="Calibri" w:cs="Calibri"/>
        </w:rPr>
        <w:t xml:space="preserve">et la </w:t>
      </w:r>
      <w:r w:rsidRPr="007A132B">
        <w:rPr>
          <w:rFonts w:ascii="Calibri" w:hAnsi="Calibri" w:cs="Calibri"/>
          <w:color w:val="FF0000"/>
        </w:rPr>
        <w:t>pleine conscience</w:t>
      </w:r>
      <w:r w:rsidRPr="007A132B">
        <w:rPr>
          <w:rFonts w:ascii="Calibri" w:hAnsi="Calibri" w:cs="Calibri"/>
        </w:rPr>
        <w:t xml:space="preserve"> sont prometteuses, mais restent à valider pour l</w:t>
      </w:r>
      <w:r w:rsidR="5283C4A7" w:rsidRPr="007A132B">
        <w:rPr>
          <w:rFonts w:ascii="Calibri" w:hAnsi="Calibri" w:cs="Calibri"/>
        </w:rPr>
        <w:t>e</w:t>
      </w:r>
      <w:r w:rsidRPr="007A132B">
        <w:rPr>
          <w:rFonts w:ascii="Calibri" w:hAnsi="Calibri" w:cs="Calibri"/>
        </w:rPr>
        <w:t xml:space="preserve"> CS</w:t>
      </w:r>
      <w:r w:rsidR="6D134902" w:rsidRPr="007A132B">
        <w:rPr>
          <w:rFonts w:ascii="Calibri" w:hAnsi="Calibri" w:cs="Calibri"/>
        </w:rPr>
        <w:t>C</w:t>
      </w:r>
      <w:r w:rsidRPr="007A132B">
        <w:rPr>
          <w:rFonts w:ascii="Calibri" w:hAnsi="Calibri" w:cs="Calibri"/>
        </w:rPr>
        <w:t>.</w:t>
      </w:r>
    </w:p>
    <w:p w14:paraId="77DB6F32" w14:textId="2ACEAC26" w:rsidR="1949DC0B" w:rsidRPr="007A132B" w:rsidRDefault="1949DC0B" w:rsidP="007A132B">
      <w:pPr>
        <w:pStyle w:val="Titre1"/>
        <w:jc w:val="both"/>
        <w:rPr>
          <w:rFonts w:ascii="Calibri" w:hAnsi="Calibri" w:cs="Calibri"/>
          <w:sz w:val="24"/>
          <w:szCs w:val="24"/>
        </w:rPr>
      </w:pPr>
      <w:r w:rsidRPr="007A132B">
        <w:rPr>
          <w:rFonts w:ascii="Calibri" w:hAnsi="Calibri" w:cs="Calibri"/>
          <w:sz w:val="24"/>
          <w:szCs w:val="24"/>
        </w:rPr>
        <w:t>Conclusion</w:t>
      </w:r>
      <w:r w:rsidR="139C3AD5" w:rsidRPr="007A132B">
        <w:rPr>
          <w:rFonts w:ascii="Calibri" w:hAnsi="Calibri" w:cs="Calibri"/>
          <w:sz w:val="24"/>
          <w:szCs w:val="24"/>
        </w:rPr>
        <w:t xml:space="preserve"> </w:t>
      </w:r>
    </w:p>
    <w:p w14:paraId="258E4D24" w14:textId="1A3B504F" w:rsidR="1949DC0B" w:rsidRPr="007A132B" w:rsidRDefault="1949DC0B" w:rsidP="007A132B">
      <w:pPr>
        <w:jc w:val="both"/>
        <w:rPr>
          <w:rFonts w:ascii="Calibri" w:hAnsi="Calibri" w:cs="Calibri"/>
        </w:rPr>
      </w:pPr>
      <w:r w:rsidRPr="007A132B">
        <w:rPr>
          <w:rFonts w:ascii="Calibri" w:hAnsi="Calibri" w:cs="Calibri"/>
        </w:rPr>
        <w:t xml:space="preserve">Cette étude montre que la dérégulation émotionnelle est un facteur clé dans le comportement sexuel compulsif, comme dans d'autres troubles addictifs. Il est essentiel de </w:t>
      </w:r>
      <w:r w:rsidRPr="007A132B">
        <w:rPr>
          <w:rFonts w:ascii="Calibri" w:hAnsi="Calibri" w:cs="Calibri"/>
          <w:color w:val="FF0000"/>
        </w:rPr>
        <w:t xml:space="preserve">dépister </w:t>
      </w:r>
      <w:r w:rsidRPr="007A132B">
        <w:rPr>
          <w:rFonts w:ascii="Calibri" w:hAnsi="Calibri" w:cs="Calibri"/>
        </w:rPr>
        <w:t xml:space="preserve">ce trouble chez les patients dépendants à la cocaïne avant le traitement, car ceux qui en souffrent risquent davantage de développer d'autres addictions et d'abandonner le suivi après l'hospitalisation. Bien que le traitement actuel de la dépendance à la cocaïne améliore certains aspects du comportement sexuel compulsif, il faut </w:t>
      </w:r>
      <w:r w:rsidRPr="007A132B">
        <w:rPr>
          <w:rFonts w:ascii="Calibri" w:hAnsi="Calibri" w:cs="Calibri"/>
          <w:color w:val="FF0000"/>
        </w:rPr>
        <w:t>développer des stratégies spécifiques</w:t>
      </w:r>
      <w:r w:rsidRPr="007A132B">
        <w:rPr>
          <w:rFonts w:ascii="Calibri" w:hAnsi="Calibri" w:cs="Calibri"/>
        </w:rPr>
        <w:t xml:space="preserve"> plus précoces pour optimiser les résultats.</w:t>
      </w:r>
    </w:p>
    <w:p w14:paraId="743B0B5D" w14:textId="263C1B57" w:rsidR="31D96899" w:rsidRPr="007A132B" w:rsidRDefault="31D96899" w:rsidP="31D96899">
      <w:pPr>
        <w:rPr>
          <w:rFonts w:ascii="Calibri" w:hAnsi="Calibri" w:cs="Calibri"/>
        </w:rPr>
      </w:pPr>
    </w:p>
    <w:p w14:paraId="7A1B53F6" w14:textId="2FBF3198" w:rsidR="31D96899" w:rsidRPr="007A132B" w:rsidRDefault="31D96899" w:rsidP="31D96899">
      <w:pPr>
        <w:rPr>
          <w:rFonts w:ascii="Calibri" w:hAnsi="Calibri" w:cs="Calibri"/>
        </w:rPr>
      </w:pPr>
    </w:p>
    <w:p w14:paraId="379E08BB" w14:textId="27EBB69B" w:rsidR="31D96899" w:rsidRPr="007A132B" w:rsidRDefault="31D96899" w:rsidP="31D96899">
      <w:pPr>
        <w:rPr>
          <w:rFonts w:ascii="Calibri" w:hAnsi="Calibri" w:cs="Calibri"/>
        </w:rPr>
      </w:pPr>
    </w:p>
    <w:p w14:paraId="335AB748" w14:textId="6ACBF3E4" w:rsidR="03A32AC9" w:rsidRPr="007A132B" w:rsidRDefault="03A32AC9" w:rsidP="007A132B">
      <w:pPr>
        <w:jc w:val="center"/>
        <w:rPr>
          <w:rFonts w:ascii="Calibri" w:hAnsi="Calibri" w:cs="Calibri"/>
          <w:b/>
          <w:bCs/>
          <w:color w:val="124F1A" w:themeColor="accent3" w:themeShade="BF"/>
        </w:rPr>
      </w:pPr>
      <w:r w:rsidRPr="007A132B">
        <w:rPr>
          <w:rFonts w:ascii="Calibri" w:hAnsi="Calibri" w:cs="Calibri"/>
          <w:b/>
          <w:bCs/>
          <w:color w:val="124F1A" w:themeColor="accent3" w:themeShade="BF"/>
        </w:rPr>
        <w:t>Dr Issam Outaik</w:t>
      </w:r>
    </w:p>
    <w:p w14:paraId="555671D1" w14:textId="69504772" w:rsidR="03A32AC9" w:rsidRPr="007A132B" w:rsidRDefault="03A32AC9" w:rsidP="007A132B">
      <w:pPr>
        <w:jc w:val="center"/>
        <w:rPr>
          <w:rFonts w:ascii="Calibri" w:hAnsi="Calibri" w:cs="Calibri"/>
          <w:b/>
          <w:bCs/>
          <w:color w:val="124F1A" w:themeColor="accent3" w:themeShade="BF"/>
        </w:rPr>
      </w:pPr>
      <w:r w:rsidRPr="007A132B">
        <w:rPr>
          <w:rFonts w:ascii="Calibri" w:hAnsi="Calibri" w:cs="Calibri"/>
          <w:b/>
          <w:bCs/>
          <w:color w:val="124F1A" w:themeColor="accent3" w:themeShade="BF"/>
        </w:rPr>
        <w:t>Centre psychiatrique universitaire Mohammed 6 Agadir</w:t>
      </w:r>
    </w:p>
    <w:p w14:paraId="6700B258" w14:textId="6CF38B73" w:rsidR="03A32AC9" w:rsidRPr="007A132B" w:rsidRDefault="03A32AC9" w:rsidP="007A132B">
      <w:pPr>
        <w:jc w:val="center"/>
        <w:rPr>
          <w:rFonts w:ascii="Calibri" w:hAnsi="Calibri" w:cs="Calibri"/>
          <w:b/>
          <w:bCs/>
          <w:color w:val="124F1A" w:themeColor="accent3" w:themeShade="BF"/>
        </w:rPr>
      </w:pPr>
      <w:r w:rsidRPr="007A132B">
        <w:rPr>
          <w:rFonts w:ascii="Calibri" w:hAnsi="Calibri" w:cs="Calibri"/>
          <w:b/>
          <w:bCs/>
          <w:color w:val="124F1A" w:themeColor="accent3" w:themeShade="BF"/>
        </w:rPr>
        <w:t>Mai 2026</w:t>
      </w:r>
    </w:p>
    <w:p w14:paraId="2E9B8A00" w14:textId="5B5CEC25" w:rsidR="31D96899" w:rsidRPr="007A132B" w:rsidRDefault="31D96899" w:rsidP="31D96899">
      <w:pPr>
        <w:rPr>
          <w:rFonts w:ascii="Calibri" w:hAnsi="Calibri" w:cs="Calibri"/>
        </w:rPr>
      </w:pPr>
    </w:p>
    <w:p w14:paraId="1356E5EB" w14:textId="3A0EEDC6" w:rsidR="631DB9F2" w:rsidRPr="007A132B" w:rsidRDefault="631DB9F2" w:rsidP="631DB9F2">
      <w:pPr>
        <w:rPr>
          <w:rFonts w:ascii="Calibri" w:hAnsi="Calibri" w:cs="Calibri"/>
        </w:rPr>
      </w:pPr>
    </w:p>
    <w:p w14:paraId="4FF88B5F" w14:textId="43055AFD" w:rsidR="31D96899" w:rsidRPr="007A132B" w:rsidRDefault="31D96899" w:rsidP="31D96899">
      <w:pPr>
        <w:rPr>
          <w:rFonts w:ascii="Calibri" w:hAnsi="Calibri" w:cs="Calibri"/>
        </w:rPr>
      </w:pPr>
    </w:p>
    <w:sectPr w:rsidR="31D96899" w:rsidRPr="007A13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7Izx3F2" int2:invalidationBookmarkName="" int2:hashCode="viXWxdM4JZemLA" int2:id="vmnllmkl">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1875"/>
    <w:multiLevelType w:val="hybridMultilevel"/>
    <w:tmpl w:val="8A2C54F2"/>
    <w:lvl w:ilvl="0" w:tplc="3822DC9A">
      <w:start w:val="1"/>
      <w:numFmt w:val="decimal"/>
      <w:lvlText w:val="%1."/>
      <w:lvlJc w:val="left"/>
      <w:pPr>
        <w:ind w:left="720" w:hanging="360"/>
      </w:pPr>
    </w:lvl>
    <w:lvl w:ilvl="1" w:tplc="9CE21A6A">
      <w:start w:val="1"/>
      <w:numFmt w:val="lowerLetter"/>
      <w:lvlText w:val="%2."/>
      <w:lvlJc w:val="left"/>
      <w:pPr>
        <w:ind w:left="1440" w:hanging="360"/>
      </w:pPr>
    </w:lvl>
    <w:lvl w:ilvl="2" w:tplc="BEF075DC">
      <w:start w:val="1"/>
      <w:numFmt w:val="lowerRoman"/>
      <w:lvlText w:val="%3."/>
      <w:lvlJc w:val="right"/>
      <w:pPr>
        <w:ind w:left="2160" w:hanging="180"/>
      </w:pPr>
    </w:lvl>
    <w:lvl w:ilvl="3" w:tplc="D730090A">
      <w:start w:val="1"/>
      <w:numFmt w:val="decimal"/>
      <w:lvlText w:val="%4."/>
      <w:lvlJc w:val="left"/>
      <w:pPr>
        <w:ind w:left="2880" w:hanging="360"/>
      </w:pPr>
    </w:lvl>
    <w:lvl w:ilvl="4" w:tplc="03F65DE2">
      <w:start w:val="1"/>
      <w:numFmt w:val="lowerLetter"/>
      <w:lvlText w:val="%5."/>
      <w:lvlJc w:val="left"/>
      <w:pPr>
        <w:ind w:left="3600" w:hanging="360"/>
      </w:pPr>
    </w:lvl>
    <w:lvl w:ilvl="5" w:tplc="07D61FD6">
      <w:start w:val="1"/>
      <w:numFmt w:val="lowerRoman"/>
      <w:lvlText w:val="%6."/>
      <w:lvlJc w:val="right"/>
      <w:pPr>
        <w:ind w:left="4320" w:hanging="180"/>
      </w:pPr>
    </w:lvl>
    <w:lvl w:ilvl="6" w:tplc="AE744B20">
      <w:start w:val="1"/>
      <w:numFmt w:val="decimal"/>
      <w:lvlText w:val="%7."/>
      <w:lvlJc w:val="left"/>
      <w:pPr>
        <w:ind w:left="5040" w:hanging="360"/>
      </w:pPr>
    </w:lvl>
    <w:lvl w:ilvl="7" w:tplc="814E2CEA">
      <w:start w:val="1"/>
      <w:numFmt w:val="lowerLetter"/>
      <w:lvlText w:val="%8."/>
      <w:lvlJc w:val="left"/>
      <w:pPr>
        <w:ind w:left="5760" w:hanging="360"/>
      </w:pPr>
    </w:lvl>
    <w:lvl w:ilvl="8" w:tplc="92B82BE0">
      <w:start w:val="1"/>
      <w:numFmt w:val="lowerRoman"/>
      <w:lvlText w:val="%9."/>
      <w:lvlJc w:val="right"/>
      <w:pPr>
        <w:ind w:left="6480" w:hanging="180"/>
      </w:pPr>
    </w:lvl>
  </w:abstractNum>
  <w:abstractNum w:abstractNumId="1" w15:restartNumberingAfterBreak="0">
    <w:nsid w:val="39F9C857"/>
    <w:multiLevelType w:val="hybridMultilevel"/>
    <w:tmpl w:val="9260E696"/>
    <w:lvl w:ilvl="0" w:tplc="9C923516">
      <w:start w:val="1"/>
      <w:numFmt w:val="decimal"/>
      <w:lvlText w:val="%1."/>
      <w:lvlJc w:val="left"/>
      <w:pPr>
        <w:ind w:left="720" w:hanging="360"/>
      </w:pPr>
    </w:lvl>
    <w:lvl w:ilvl="1" w:tplc="E3D643E8">
      <w:start w:val="1"/>
      <w:numFmt w:val="lowerLetter"/>
      <w:lvlText w:val="%2."/>
      <w:lvlJc w:val="left"/>
      <w:pPr>
        <w:ind w:left="1440" w:hanging="360"/>
      </w:pPr>
    </w:lvl>
    <w:lvl w:ilvl="2" w:tplc="A5A05FD0">
      <w:start w:val="1"/>
      <w:numFmt w:val="lowerRoman"/>
      <w:lvlText w:val="%3."/>
      <w:lvlJc w:val="right"/>
      <w:pPr>
        <w:ind w:left="2160" w:hanging="180"/>
      </w:pPr>
    </w:lvl>
    <w:lvl w:ilvl="3" w:tplc="0EAACD1C">
      <w:start w:val="1"/>
      <w:numFmt w:val="decimal"/>
      <w:lvlText w:val="%4."/>
      <w:lvlJc w:val="left"/>
      <w:pPr>
        <w:ind w:left="2880" w:hanging="360"/>
      </w:pPr>
    </w:lvl>
    <w:lvl w:ilvl="4" w:tplc="2DE869A6">
      <w:start w:val="1"/>
      <w:numFmt w:val="lowerLetter"/>
      <w:lvlText w:val="%5."/>
      <w:lvlJc w:val="left"/>
      <w:pPr>
        <w:ind w:left="3600" w:hanging="360"/>
      </w:pPr>
    </w:lvl>
    <w:lvl w:ilvl="5" w:tplc="8DC8DE84">
      <w:start w:val="1"/>
      <w:numFmt w:val="lowerRoman"/>
      <w:lvlText w:val="%6."/>
      <w:lvlJc w:val="right"/>
      <w:pPr>
        <w:ind w:left="4320" w:hanging="180"/>
      </w:pPr>
    </w:lvl>
    <w:lvl w:ilvl="6" w:tplc="F458830A">
      <w:start w:val="1"/>
      <w:numFmt w:val="decimal"/>
      <w:lvlText w:val="%7."/>
      <w:lvlJc w:val="left"/>
      <w:pPr>
        <w:ind w:left="5040" w:hanging="360"/>
      </w:pPr>
    </w:lvl>
    <w:lvl w:ilvl="7" w:tplc="79D8B2C0">
      <w:start w:val="1"/>
      <w:numFmt w:val="lowerLetter"/>
      <w:lvlText w:val="%8."/>
      <w:lvlJc w:val="left"/>
      <w:pPr>
        <w:ind w:left="5760" w:hanging="360"/>
      </w:pPr>
    </w:lvl>
    <w:lvl w:ilvl="8" w:tplc="1BF4C484">
      <w:start w:val="1"/>
      <w:numFmt w:val="lowerRoman"/>
      <w:lvlText w:val="%9."/>
      <w:lvlJc w:val="right"/>
      <w:pPr>
        <w:ind w:left="6480" w:hanging="180"/>
      </w:pPr>
    </w:lvl>
  </w:abstractNum>
  <w:abstractNum w:abstractNumId="2" w15:restartNumberingAfterBreak="0">
    <w:nsid w:val="6851D7F9"/>
    <w:multiLevelType w:val="hybridMultilevel"/>
    <w:tmpl w:val="3E6AC79A"/>
    <w:lvl w:ilvl="0" w:tplc="E58E3EDC">
      <w:start w:val="1"/>
      <w:numFmt w:val="bullet"/>
      <w:lvlText w:val=""/>
      <w:lvlJc w:val="left"/>
      <w:pPr>
        <w:ind w:left="720" w:hanging="360"/>
      </w:pPr>
      <w:rPr>
        <w:rFonts w:ascii="Symbol" w:hAnsi="Symbol" w:hint="default"/>
      </w:rPr>
    </w:lvl>
    <w:lvl w:ilvl="1" w:tplc="D9728A4E">
      <w:start w:val="1"/>
      <w:numFmt w:val="bullet"/>
      <w:lvlText w:val="o"/>
      <w:lvlJc w:val="left"/>
      <w:pPr>
        <w:ind w:left="1440" w:hanging="360"/>
      </w:pPr>
      <w:rPr>
        <w:rFonts w:ascii="Courier New" w:hAnsi="Courier New" w:hint="default"/>
      </w:rPr>
    </w:lvl>
    <w:lvl w:ilvl="2" w:tplc="3F54C6B4">
      <w:start w:val="1"/>
      <w:numFmt w:val="bullet"/>
      <w:lvlText w:val=""/>
      <w:lvlJc w:val="left"/>
      <w:pPr>
        <w:ind w:left="2160" w:hanging="360"/>
      </w:pPr>
      <w:rPr>
        <w:rFonts w:ascii="Wingdings" w:hAnsi="Wingdings" w:hint="default"/>
      </w:rPr>
    </w:lvl>
    <w:lvl w:ilvl="3" w:tplc="A3C437CA">
      <w:start w:val="1"/>
      <w:numFmt w:val="bullet"/>
      <w:lvlText w:val=""/>
      <w:lvlJc w:val="left"/>
      <w:pPr>
        <w:ind w:left="2880" w:hanging="360"/>
      </w:pPr>
      <w:rPr>
        <w:rFonts w:ascii="Symbol" w:hAnsi="Symbol" w:hint="default"/>
      </w:rPr>
    </w:lvl>
    <w:lvl w:ilvl="4" w:tplc="B10C9690">
      <w:start w:val="1"/>
      <w:numFmt w:val="bullet"/>
      <w:lvlText w:val="o"/>
      <w:lvlJc w:val="left"/>
      <w:pPr>
        <w:ind w:left="3600" w:hanging="360"/>
      </w:pPr>
      <w:rPr>
        <w:rFonts w:ascii="Courier New" w:hAnsi="Courier New" w:hint="default"/>
      </w:rPr>
    </w:lvl>
    <w:lvl w:ilvl="5" w:tplc="917A8FFC">
      <w:start w:val="1"/>
      <w:numFmt w:val="bullet"/>
      <w:lvlText w:val=""/>
      <w:lvlJc w:val="left"/>
      <w:pPr>
        <w:ind w:left="4320" w:hanging="360"/>
      </w:pPr>
      <w:rPr>
        <w:rFonts w:ascii="Wingdings" w:hAnsi="Wingdings" w:hint="default"/>
      </w:rPr>
    </w:lvl>
    <w:lvl w:ilvl="6" w:tplc="1A1889FC">
      <w:start w:val="1"/>
      <w:numFmt w:val="bullet"/>
      <w:lvlText w:val=""/>
      <w:lvlJc w:val="left"/>
      <w:pPr>
        <w:ind w:left="5040" w:hanging="360"/>
      </w:pPr>
      <w:rPr>
        <w:rFonts w:ascii="Symbol" w:hAnsi="Symbol" w:hint="default"/>
      </w:rPr>
    </w:lvl>
    <w:lvl w:ilvl="7" w:tplc="2662D6D8">
      <w:start w:val="1"/>
      <w:numFmt w:val="bullet"/>
      <w:lvlText w:val="o"/>
      <w:lvlJc w:val="left"/>
      <w:pPr>
        <w:ind w:left="5760" w:hanging="360"/>
      </w:pPr>
      <w:rPr>
        <w:rFonts w:ascii="Courier New" w:hAnsi="Courier New" w:hint="default"/>
      </w:rPr>
    </w:lvl>
    <w:lvl w:ilvl="8" w:tplc="B6CA1C64">
      <w:start w:val="1"/>
      <w:numFmt w:val="bullet"/>
      <w:lvlText w:val=""/>
      <w:lvlJc w:val="left"/>
      <w:pPr>
        <w:ind w:left="6480" w:hanging="360"/>
      </w:pPr>
      <w:rPr>
        <w:rFonts w:ascii="Wingdings" w:hAnsi="Wingdings" w:hint="default"/>
      </w:rPr>
    </w:lvl>
  </w:abstractNum>
  <w:abstractNum w:abstractNumId="3" w15:restartNumberingAfterBreak="0">
    <w:nsid w:val="71E78092"/>
    <w:multiLevelType w:val="hybridMultilevel"/>
    <w:tmpl w:val="7B74B356"/>
    <w:lvl w:ilvl="0" w:tplc="8AD69790">
      <w:start w:val="1"/>
      <w:numFmt w:val="decimal"/>
      <w:lvlText w:val="%1."/>
      <w:lvlJc w:val="left"/>
      <w:pPr>
        <w:ind w:left="720" w:hanging="360"/>
      </w:pPr>
    </w:lvl>
    <w:lvl w:ilvl="1" w:tplc="122209C0">
      <w:start w:val="1"/>
      <w:numFmt w:val="lowerLetter"/>
      <w:lvlText w:val="%2."/>
      <w:lvlJc w:val="left"/>
      <w:pPr>
        <w:ind w:left="1440" w:hanging="360"/>
      </w:pPr>
    </w:lvl>
    <w:lvl w:ilvl="2" w:tplc="4E8255F8">
      <w:start w:val="1"/>
      <w:numFmt w:val="lowerRoman"/>
      <w:lvlText w:val="%3."/>
      <w:lvlJc w:val="right"/>
      <w:pPr>
        <w:ind w:left="2160" w:hanging="180"/>
      </w:pPr>
    </w:lvl>
    <w:lvl w:ilvl="3" w:tplc="9BA228BE">
      <w:start w:val="1"/>
      <w:numFmt w:val="decimal"/>
      <w:lvlText w:val="%4."/>
      <w:lvlJc w:val="left"/>
      <w:pPr>
        <w:ind w:left="2880" w:hanging="360"/>
      </w:pPr>
    </w:lvl>
    <w:lvl w:ilvl="4" w:tplc="5FAE305C">
      <w:start w:val="1"/>
      <w:numFmt w:val="lowerLetter"/>
      <w:lvlText w:val="%5."/>
      <w:lvlJc w:val="left"/>
      <w:pPr>
        <w:ind w:left="3600" w:hanging="360"/>
      </w:pPr>
    </w:lvl>
    <w:lvl w:ilvl="5" w:tplc="9D347C3C">
      <w:start w:val="1"/>
      <w:numFmt w:val="lowerRoman"/>
      <w:lvlText w:val="%6."/>
      <w:lvlJc w:val="right"/>
      <w:pPr>
        <w:ind w:left="4320" w:hanging="180"/>
      </w:pPr>
    </w:lvl>
    <w:lvl w:ilvl="6" w:tplc="7B3886BA">
      <w:start w:val="1"/>
      <w:numFmt w:val="decimal"/>
      <w:lvlText w:val="%7."/>
      <w:lvlJc w:val="left"/>
      <w:pPr>
        <w:ind w:left="5040" w:hanging="360"/>
      </w:pPr>
    </w:lvl>
    <w:lvl w:ilvl="7" w:tplc="1A1E4A5C">
      <w:start w:val="1"/>
      <w:numFmt w:val="lowerLetter"/>
      <w:lvlText w:val="%8."/>
      <w:lvlJc w:val="left"/>
      <w:pPr>
        <w:ind w:left="5760" w:hanging="360"/>
      </w:pPr>
    </w:lvl>
    <w:lvl w:ilvl="8" w:tplc="1F380D06">
      <w:start w:val="1"/>
      <w:numFmt w:val="lowerRoman"/>
      <w:lvlText w:val="%9."/>
      <w:lvlJc w:val="right"/>
      <w:pPr>
        <w:ind w:left="6480" w:hanging="180"/>
      </w:pPr>
    </w:lvl>
  </w:abstractNum>
  <w:num w:numId="1" w16cid:durableId="695733236">
    <w:abstractNumId w:val="2"/>
  </w:num>
  <w:num w:numId="2" w16cid:durableId="1644235643">
    <w:abstractNumId w:val="0"/>
  </w:num>
  <w:num w:numId="3" w16cid:durableId="1758556618">
    <w:abstractNumId w:val="3"/>
  </w:num>
  <w:num w:numId="4" w16cid:durableId="76561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3A413"/>
    <w:rsid w:val="00215CD9"/>
    <w:rsid w:val="007A132B"/>
    <w:rsid w:val="00E67867"/>
    <w:rsid w:val="03A32AC9"/>
    <w:rsid w:val="05A032AB"/>
    <w:rsid w:val="0642A1D5"/>
    <w:rsid w:val="06B00B5F"/>
    <w:rsid w:val="076EEE7E"/>
    <w:rsid w:val="0889031D"/>
    <w:rsid w:val="097EA485"/>
    <w:rsid w:val="09A7F888"/>
    <w:rsid w:val="0A3C16F9"/>
    <w:rsid w:val="0B3180E0"/>
    <w:rsid w:val="0B57BAE0"/>
    <w:rsid w:val="0BEA6BCE"/>
    <w:rsid w:val="0CA8BF2D"/>
    <w:rsid w:val="0DB186AC"/>
    <w:rsid w:val="10509D7D"/>
    <w:rsid w:val="109ECEEE"/>
    <w:rsid w:val="10C60508"/>
    <w:rsid w:val="139C3AD5"/>
    <w:rsid w:val="1688D603"/>
    <w:rsid w:val="189EB541"/>
    <w:rsid w:val="1938D358"/>
    <w:rsid w:val="1949DC0B"/>
    <w:rsid w:val="1B9DB417"/>
    <w:rsid w:val="1CE459A9"/>
    <w:rsid w:val="1E84AD4E"/>
    <w:rsid w:val="1EE38715"/>
    <w:rsid w:val="1F5E398D"/>
    <w:rsid w:val="211FB907"/>
    <w:rsid w:val="21249A89"/>
    <w:rsid w:val="22BA6275"/>
    <w:rsid w:val="23885033"/>
    <w:rsid w:val="261917BA"/>
    <w:rsid w:val="28A7AAEF"/>
    <w:rsid w:val="290D735F"/>
    <w:rsid w:val="2B1C031C"/>
    <w:rsid w:val="2B2B7A3E"/>
    <w:rsid w:val="2D44AFFB"/>
    <w:rsid w:val="2E3772FF"/>
    <w:rsid w:val="2E991F5A"/>
    <w:rsid w:val="30B9504A"/>
    <w:rsid w:val="3199A9B4"/>
    <w:rsid w:val="31D96899"/>
    <w:rsid w:val="32C321D2"/>
    <w:rsid w:val="3304DC94"/>
    <w:rsid w:val="336D71C3"/>
    <w:rsid w:val="3ABE84A1"/>
    <w:rsid w:val="3ADBF9FC"/>
    <w:rsid w:val="3B597782"/>
    <w:rsid w:val="400473B9"/>
    <w:rsid w:val="4116CC79"/>
    <w:rsid w:val="423CD4E0"/>
    <w:rsid w:val="43CC46BF"/>
    <w:rsid w:val="471AEF47"/>
    <w:rsid w:val="488849E9"/>
    <w:rsid w:val="4AE436B5"/>
    <w:rsid w:val="4DEBC7D6"/>
    <w:rsid w:val="5283C4A7"/>
    <w:rsid w:val="52A02E49"/>
    <w:rsid w:val="56BE1D73"/>
    <w:rsid w:val="5BD4DA56"/>
    <w:rsid w:val="5E5BC34D"/>
    <w:rsid w:val="61E5249B"/>
    <w:rsid w:val="631DB9F2"/>
    <w:rsid w:val="66196EC1"/>
    <w:rsid w:val="67CB18D2"/>
    <w:rsid w:val="6CFC3088"/>
    <w:rsid w:val="6D134902"/>
    <w:rsid w:val="700834CF"/>
    <w:rsid w:val="7025F15A"/>
    <w:rsid w:val="713F36CA"/>
    <w:rsid w:val="71521361"/>
    <w:rsid w:val="7580F27B"/>
    <w:rsid w:val="75BF315E"/>
    <w:rsid w:val="7930A554"/>
    <w:rsid w:val="7BF3A413"/>
    <w:rsid w:val="7C44DF5D"/>
    <w:rsid w:val="7CF056BC"/>
    <w:rsid w:val="7D0026F0"/>
    <w:rsid w:val="7F35CA41"/>
    <w:rsid w:val="7FA544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25D2"/>
  <w15:chartTrackingRefBased/>
  <w15:docId w15:val="{202FD7E7-C719-4FAC-87DD-8657172D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631DB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631DB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631DB9F2"/>
    <w:pPr>
      <w:keepNext/>
      <w:keepLines/>
      <w:spacing w:before="160" w:after="80"/>
      <w:outlineLvl w:val="2"/>
    </w:pPr>
    <w:rPr>
      <w:rFonts w:eastAsiaTheme="majorEastAsia" w:cstheme="majorBidi"/>
      <w:color w:val="0F47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2E3772FF"/>
    <w:pPr>
      <w:spacing w:after="80" w:line="240" w:lineRule="auto"/>
      <w:contextualSpacing/>
    </w:pPr>
    <w:rPr>
      <w:rFonts w:asciiTheme="majorHAnsi" w:eastAsiaTheme="majorEastAsia" w:hAnsiTheme="majorHAnsi" w:cstheme="majorBidi"/>
      <w:sz w:val="56"/>
      <w:szCs w:val="56"/>
    </w:rPr>
  </w:style>
  <w:style w:type="paragraph" w:styleId="Paragraphedeliste">
    <w:name w:val="List Paragraph"/>
    <w:basedOn w:val="Normal"/>
    <w:uiPriority w:val="34"/>
    <w:qFormat/>
    <w:rsid w:val="631DB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1230</Words>
  <Characters>6771</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Outaik</dc:creator>
  <cp:keywords/>
  <dc:description/>
  <cp:lastModifiedBy>khadija Akebour</cp:lastModifiedBy>
  <cp:revision>3</cp:revision>
  <dcterms:created xsi:type="dcterms:W3CDTF">2026-05-21T20:52:00Z</dcterms:created>
  <dcterms:modified xsi:type="dcterms:W3CDTF">2026-05-29T10:58:00Z</dcterms:modified>
</cp:coreProperties>
</file>