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56B" w:rsidRDefault="00167DA9">
      <w:pPr>
        <w:jc w:val="center"/>
      </w:pPr>
      <w:bookmarkStart w:id="0" w:name="_GoBack"/>
      <w:bookmarkEnd w:id="0"/>
      <w:r>
        <w:rPr>
          <w:noProof/>
          <w:lang w:eastAsia="fr-FR"/>
        </w:rPr>
        <w:drawing>
          <wp:inline distT="0" distB="0" distL="0" distR="0">
            <wp:extent cx="5227771" cy="1531757"/>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27771" cy="1531757"/>
                    </a:xfrm>
                    <a:prstGeom prst="rect">
                      <a:avLst/>
                    </a:prstGeom>
                    <a:noFill/>
                    <a:ln>
                      <a:noFill/>
                      <a:prstDash/>
                    </a:ln>
                  </pic:spPr>
                </pic:pic>
              </a:graphicData>
            </a:graphic>
          </wp:inline>
        </w:drawing>
      </w:r>
    </w:p>
    <w:p w:rsidR="002B056B" w:rsidRDefault="00167DA9">
      <w:pPr>
        <w:jc w:val="center"/>
      </w:pPr>
      <w:r>
        <w:rPr>
          <w:rStyle w:val="Policepardfaut"/>
          <w:b/>
          <w:bCs/>
          <w:color w:val="0070C0"/>
          <w:sz w:val="28"/>
          <w:szCs w:val="28"/>
          <w:u w:val="single"/>
        </w:rPr>
        <w:t>Trouble bipolaire de type II : revue actualisée des connaissances</w:t>
      </w:r>
    </w:p>
    <w:p w:rsidR="002B056B" w:rsidRDefault="00167DA9">
      <w:pPr>
        <w:pStyle w:val="Paragraphedeliste"/>
        <w:numPr>
          <w:ilvl w:val="0"/>
          <w:numId w:val="1"/>
        </w:numPr>
        <w:jc w:val="both"/>
        <w:rPr>
          <w:b/>
          <w:bCs/>
          <w:color w:val="FF0000"/>
          <w:sz w:val="28"/>
          <w:szCs w:val="28"/>
          <w:u w:val="single"/>
        </w:rPr>
      </w:pPr>
      <w:r>
        <w:rPr>
          <w:b/>
          <w:bCs/>
          <w:color w:val="FF0000"/>
          <w:sz w:val="28"/>
          <w:szCs w:val="28"/>
          <w:u w:val="single"/>
        </w:rPr>
        <w:t xml:space="preserve">Introduction : </w:t>
      </w:r>
    </w:p>
    <w:p w:rsidR="002B056B" w:rsidRDefault="00167DA9">
      <w:pPr>
        <w:jc w:val="both"/>
        <w:rPr>
          <w:rFonts w:eastAsia="Times New Roman"/>
          <w:kern w:val="0"/>
          <w:lang w:eastAsia="fr-FR"/>
        </w:rPr>
      </w:pPr>
      <w:r>
        <w:rPr>
          <w:rFonts w:eastAsia="Times New Roman"/>
          <w:kern w:val="0"/>
          <w:lang w:eastAsia="fr-FR"/>
        </w:rPr>
        <w:t xml:space="preserve">La conceptualisation du trouble bipolaire a évolué d’une vision de « psychose maniaco-dépressive » </w:t>
      </w:r>
      <w:r>
        <w:rPr>
          <w:rFonts w:eastAsia="Times New Roman"/>
          <w:kern w:val="0"/>
          <w:lang w:eastAsia="fr-FR"/>
        </w:rPr>
        <w:t>vers une approche dimensionnelle en spectre. Le terme de trouble bipolaire décrit l’alternance entre épisodes maniaques et dépressifs. L’introduction de l’hypomanie dans le DSM-III a permis d’identifier progressivement le trouble bipolaire de type II (TB-I</w:t>
      </w:r>
      <w:r>
        <w:rPr>
          <w:rFonts w:eastAsia="Times New Roman"/>
          <w:kern w:val="0"/>
          <w:lang w:eastAsia="fr-FR"/>
        </w:rPr>
        <w:t>I), reconnu comme entité distincte dans le DSM-IV.</w:t>
      </w:r>
    </w:p>
    <w:p w:rsidR="002B056B" w:rsidRDefault="00167DA9">
      <w:pPr>
        <w:jc w:val="both"/>
        <w:rPr>
          <w:rFonts w:eastAsia="Times New Roman"/>
          <w:kern w:val="0"/>
          <w:lang w:eastAsia="fr-FR"/>
        </w:rPr>
      </w:pPr>
      <w:r>
        <w:rPr>
          <w:rFonts w:eastAsia="Times New Roman"/>
          <w:kern w:val="0"/>
          <w:lang w:eastAsia="fr-FR"/>
        </w:rPr>
        <w:t>Malgré cette individualisation, le TB-II a longtemps suscité des débats concernant ses limites diagnostiques, bien qu’il soit aujourd’hui largement reconnu comme une entité clinique distincte. Il reste néa</w:t>
      </w:r>
      <w:r>
        <w:rPr>
          <w:rFonts w:eastAsia="Times New Roman"/>
          <w:kern w:val="0"/>
          <w:lang w:eastAsia="fr-FR"/>
        </w:rPr>
        <w:t>nmoins fréquemment sous-diagnostiqué, avec des retards importants exposant à une évolution défavorable et à des prises en charge inadaptées, parfois iatrogènes.</w:t>
      </w:r>
    </w:p>
    <w:p w:rsidR="002B056B" w:rsidRDefault="00167DA9">
      <w:pPr>
        <w:jc w:val="both"/>
      </w:pPr>
      <w:r>
        <w:rPr>
          <w:rStyle w:val="Policepardfaut"/>
          <w:rFonts w:eastAsia="Times New Roman"/>
          <w:kern w:val="0"/>
          <w:lang w:eastAsia="fr-FR"/>
        </w:rPr>
        <w:t>Contrairement à l’idée d’une forme bénigne, le TB-II est associé à une forte charge dépressive,</w:t>
      </w:r>
      <w:r>
        <w:rPr>
          <w:rStyle w:val="Policepardfaut"/>
          <w:rFonts w:eastAsia="Times New Roman"/>
          <w:kern w:val="0"/>
          <w:lang w:eastAsia="fr-FR"/>
        </w:rPr>
        <w:t xml:space="preserve"> une altération fonctionnelle marquée et un risque suicidaire comparable, voire supérieur, à celui du TB-I. Malgré son impact, il demeure insuffisamment étudié, notamment sur le plan thérapeutique.</w:t>
      </w:r>
    </w:p>
    <w:p w:rsidR="002B056B" w:rsidRDefault="00167DA9">
      <w:pPr>
        <w:pStyle w:val="Paragraphedeliste"/>
        <w:numPr>
          <w:ilvl w:val="0"/>
          <w:numId w:val="1"/>
        </w:numPr>
        <w:rPr>
          <w:b/>
          <w:bCs/>
          <w:color w:val="FF0000"/>
          <w:sz w:val="28"/>
          <w:szCs w:val="28"/>
          <w:u w:val="single"/>
        </w:rPr>
      </w:pPr>
      <w:r>
        <w:rPr>
          <w:b/>
          <w:bCs/>
          <w:color w:val="FF0000"/>
          <w:sz w:val="28"/>
          <w:szCs w:val="28"/>
          <w:u w:val="single"/>
        </w:rPr>
        <w:t>Critères diagnostiques :</w:t>
      </w:r>
    </w:p>
    <w:p w:rsidR="002B056B" w:rsidRDefault="00167DA9">
      <w:pPr>
        <w:jc w:val="both"/>
      </w:pPr>
      <w:r>
        <w:t>Le TB-II est défini par la présen</w:t>
      </w:r>
      <w:r>
        <w:t>ce d’au moins un épisode dépressif majeur et un épisode hypomaniaque, sans antécédent de manie. L’hypomanie présente les mêmes symptômes que la manie mais avec une intensité moindre, sans altération majeure du fonctionnement, sans hospitalisation et sans s</w:t>
      </w:r>
      <w:r>
        <w:t>ymptômes psychotiques.</w:t>
      </w:r>
    </w:p>
    <w:p w:rsidR="002B056B" w:rsidRDefault="00167DA9">
      <w:pPr>
        <w:jc w:val="both"/>
      </w:pPr>
      <w:r>
        <w:t>La distinction entre hypomanie et manie repose donc essentiellement sur la sévérité, les différences qualitatives restant peu claires. L’hypomanie se caractérise souvent par une augmentation de l’activité orientée vers un but, parfoi</w:t>
      </w:r>
      <w:r>
        <w:t>s sans élévation évidente de l’humeur, et peut être associée à une irritabilité dans les formes mixtes.</w:t>
      </w:r>
    </w:p>
    <w:p w:rsidR="002B056B" w:rsidRDefault="00167DA9">
      <w:pPr>
        <w:jc w:val="both"/>
      </w:pPr>
      <w:r>
        <w:t>Un épisode dépressif doit durer au moins deux semaines. Pour l’hypomanie, le DSM-5 exige une durée minimale de quatre jours, tandis que la CIM-11 évoque</w:t>
      </w:r>
      <w:r>
        <w:t xml:space="preserve"> plusieurs jours. Ce seuil reste discuté mais est maintenu pour limiter les faux positifs. Le DSM-5 précise également un nombre minimal de symptômes, contrairement à la CIM-11.</w:t>
      </w:r>
    </w:p>
    <w:p w:rsidR="002B056B" w:rsidRDefault="00167DA9">
      <w:pPr>
        <w:jc w:val="both"/>
      </w:pPr>
      <w:r>
        <w:t>Le diagnostic est souvent difficile, car l’hypomanie peut être confondue avec u</w:t>
      </w:r>
      <w:r>
        <w:t>ne variation normale de l’humeur. Il est donc essentiel d’identifier un changement net par rapport au fonctionnement habituel. La fiabilité diagnostique du TB-II est modérée, mais reste supérieure à celle du trouble dépressif majeur.</w:t>
      </w:r>
    </w:p>
    <w:p w:rsidR="002B056B" w:rsidRDefault="002B056B">
      <w:pPr>
        <w:jc w:val="both"/>
      </w:pPr>
    </w:p>
    <w:p w:rsidR="002B056B" w:rsidRDefault="002B056B">
      <w:pPr>
        <w:jc w:val="both"/>
      </w:pPr>
    </w:p>
    <w:p w:rsidR="002B056B" w:rsidRDefault="00167DA9">
      <w:pPr>
        <w:pStyle w:val="Paragraphedeliste"/>
        <w:numPr>
          <w:ilvl w:val="0"/>
          <w:numId w:val="1"/>
        </w:numPr>
        <w:jc w:val="both"/>
        <w:rPr>
          <w:b/>
          <w:bCs/>
          <w:color w:val="FF0000"/>
          <w:sz w:val="28"/>
          <w:szCs w:val="28"/>
          <w:u w:val="single"/>
        </w:rPr>
      </w:pPr>
      <w:r>
        <w:rPr>
          <w:b/>
          <w:bCs/>
          <w:color w:val="FF0000"/>
          <w:sz w:val="28"/>
          <w:szCs w:val="28"/>
          <w:u w:val="single"/>
        </w:rPr>
        <w:t>Présentations cliniq</w:t>
      </w:r>
      <w:r>
        <w:rPr>
          <w:b/>
          <w:bCs/>
          <w:color w:val="FF0000"/>
          <w:sz w:val="28"/>
          <w:szCs w:val="28"/>
          <w:u w:val="single"/>
        </w:rPr>
        <w:t>ues :</w:t>
      </w:r>
    </w:p>
    <w:p w:rsidR="002B056B" w:rsidRDefault="00167DA9">
      <w:pPr>
        <w:spacing w:before="100" w:after="100"/>
        <w:jc w:val="both"/>
        <w:rPr>
          <w:rFonts w:eastAsia="Times New Roman"/>
          <w:kern w:val="0"/>
          <w:lang w:eastAsia="fr-FR"/>
        </w:rPr>
      </w:pPr>
      <w:r>
        <w:rPr>
          <w:rFonts w:eastAsia="Times New Roman"/>
          <w:kern w:val="0"/>
          <w:lang w:eastAsia="fr-FR"/>
        </w:rPr>
        <w:lastRenderedPageBreak/>
        <w:t>Le TB-II est souvent difficile à identifier en raison du chevauchement de ses symptômes avec d’autres troubles, en particulier la dépression. Les épisodes dépressifs sont largement prédominants, mais cette prédominance est probablement surestimée car</w:t>
      </w:r>
      <w:r>
        <w:rPr>
          <w:rFonts w:eastAsia="Times New Roman"/>
          <w:kern w:val="0"/>
          <w:lang w:eastAsia="fr-FR"/>
        </w:rPr>
        <w:t xml:space="preserve"> les épisodes hypomaniaques sont souvent sous-reconnus ou non rapportés.</w:t>
      </w:r>
    </w:p>
    <w:p w:rsidR="002B056B" w:rsidRDefault="00167DA9">
      <w:pPr>
        <w:spacing w:before="100" w:after="100"/>
        <w:jc w:val="both"/>
        <w:rPr>
          <w:rFonts w:eastAsia="Times New Roman"/>
          <w:kern w:val="0"/>
          <w:lang w:eastAsia="fr-FR"/>
        </w:rPr>
      </w:pPr>
      <w:r>
        <w:rPr>
          <w:rFonts w:eastAsia="Times New Roman"/>
          <w:kern w:val="0"/>
          <w:lang w:eastAsia="fr-FR"/>
        </w:rPr>
        <w:t>L’hypomanie n’entraîne pas de retentissement fonctionnel majeur et peut être vécue comme agréable, ce qui limite le recours aux soins. Dans les formes mixtes, l’irritabilité peut être</w:t>
      </w:r>
      <w:r>
        <w:rPr>
          <w:rFonts w:eastAsia="Times New Roman"/>
          <w:kern w:val="0"/>
          <w:lang w:eastAsia="fr-FR"/>
        </w:rPr>
        <w:t xml:space="preserve"> interprétée comme un symptôme dépressif, masquant ainsi les caractéristiques hypomaniaques.</w:t>
      </w:r>
    </w:p>
    <w:p w:rsidR="002B056B" w:rsidRDefault="00167DA9">
      <w:pPr>
        <w:spacing w:before="100" w:after="100"/>
        <w:jc w:val="both"/>
        <w:rPr>
          <w:rFonts w:eastAsia="Times New Roman"/>
          <w:kern w:val="0"/>
          <w:lang w:eastAsia="fr-FR"/>
        </w:rPr>
      </w:pPr>
      <w:r>
        <w:rPr>
          <w:rFonts w:eastAsia="Times New Roman"/>
          <w:kern w:val="0"/>
          <w:lang w:eastAsia="fr-FR"/>
        </w:rPr>
        <w:t>La plupart des patients consultent initialement pour un épisode dépressif, ce qui conduit fréquemment à un diagnostic de dépression unipolaire et à l’utilisation d</w:t>
      </w:r>
      <w:r>
        <w:rPr>
          <w:rFonts w:eastAsia="Times New Roman"/>
          <w:kern w:val="0"/>
          <w:lang w:eastAsia="fr-FR"/>
        </w:rPr>
        <w:t>’antidépresseurs en monothérapie, pouvant aggraver l’évolution et augmenter le risque suicidaire. Il est donc essentiel de rechercher systématiquement des antécédents d’hypomanie en analysant le caractère épisodique des symptômes, leur durée et leur impact</w:t>
      </w:r>
      <w:r>
        <w:rPr>
          <w:rFonts w:eastAsia="Times New Roman"/>
          <w:kern w:val="0"/>
          <w:lang w:eastAsia="fr-FR"/>
        </w:rPr>
        <w:t>.</w:t>
      </w:r>
    </w:p>
    <w:p w:rsidR="002B056B" w:rsidRDefault="00167DA9">
      <w:pPr>
        <w:spacing w:before="100" w:after="100"/>
        <w:jc w:val="both"/>
        <w:rPr>
          <w:rFonts w:eastAsia="Times New Roman"/>
          <w:kern w:val="0"/>
          <w:lang w:eastAsia="fr-FR"/>
        </w:rPr>
      </w:pPr>
      <w:r>
        <w:rPr>
          <w:rFonts w:eastAsia="Times New Roman"/>
          <w:kern w:val="0"/>
          <w:lang w:eastAsia="fr-FR"/>
        </w:rPr>
        <w:t xml:space="preserve">Les états mixtes sont fréquents et concernent jusqu’à 40% des patients. Ils sont associés à une évolution plus sévère, avec davantage de comorbidités, de rechutes, de cycles rapides, un risque suicidaire accru et une altération importante de la qualité </w:t>
      </w:r>
      <w:r>
        <w:rPr>
          <w:rFonts w:eastAsia="Times New Roman"/>
          <w:kern w:val="0"/>
          <w:lang w:eastAsia="fr-FR"/>
        </w:rPr>
        <w:t>de vie.</w:t>
      </w:r>
    </w:p>
    <w:p w:rsidR="002B056B" w:rsidRDefault="00167DA9">
      <w:pPr>
        <w:pStyle w:val="Paragraphedeliste"/>
        <w:numPr>
          <w:ilvl w:val="0"/>
          <w:numId w:val="1"/>
        </w:numPr>
        <w:jc w:val="both"/>
        <w:rPr>
          <w:b/>
          <w:bCs/>
          <w:color w:val="FF0000"/>
          <w:sz w:val="28"/>
          <w:szCs w:val="28"/>
          <w:u w:val="single"/>
        </w:rPr>
      </w:pPr>
      <w:r>
        <w:rPr>
          <w:b/>
          <w:bCs/>
          <w:color w:val="FF0000"/>
          <w:sz w:val="28"/>
          <w:szCs w:val="28"/>
          <w:u w:val="single"/>
        </w:rPr>
        <w:t>Diagnostic différentiel :</w:t>
      </w:r>
    </w:p>
    <w:p w:rsidR="002B056B" w:rsidRDefault="00167DA9">
      <w:pPr>
        <w:jc w:val="both"/>
        <w:rPr>
          <w:rFonts w:eastAsia="Times New Roman"/>
          <w:kern w:val="0"/>
          <w:lang w:eastAsia="fr-FR"/>
        </w:rPr>
      </w:pPr>
      <w:bookmarkStart w:id="1" w:name="_Hlk204111030"/>
      <w:r>
        <w:rPr>
          <w:rFonts w:eastAsia="Times New Roman"/>
          <w:kern w:val="0"/>
          <w:lang w:eastAsia="fr-FR"/>
        </w:rPr>
        <w:t xml:space="preserve">Le diagnostic différentiel du TB-II repose sur la mise en évidence du caractère épisodique des troubles de l’humeur, avec des phases distinctes séparées par un retour au fonctionnement habituel, contrairement aux troubles </w:t>
      </w:r>
      <w:r>
        <w:rPr>
          <w:rFonts w:eastAsia="Times New Roman"/>
          <w:kern w:val="0"/>
          <w:lang w:eastAsia="fr-FR"/>
        </w:rPr>
        <w:t>plus continus.</w:t>
      </w:r>
    </w:p>
    <w:p w:rsidR="002B056B" w:rsidRDefault="00167DA9">
      <w:pPr>
        <w:jc w:val="both"/>
        <w:rPr>
          <w:rFonts w:eastAsia="Times New Roman"/>
          <w:kern w:val="0"/>
          <w:lang w:eastAsia="fr-FR"/>
        </w:rPr>
      </w:pPr>
      <w:r>
        <w:rPr>
          <w:rFonts w:eastAsia="Times New Roman"/>
          <w:kern w:val="0"/>
          <w:lang w:eastAsia="fr-FR"/>
        </w:rPr>
        <w:t>La distinction avec le trouble dépressif majeur repose uniquement sur la présence d’épisodes hypomaniaques. Certains éléments orientent vers une bipolarité, comme la répétition des épisodes, le début précoce, les variations saisonnières, les</w:t>
      </w:r>
      <w:r>
        <w:rPr>
          <w:rFonts w:eastAsia="Times New Roman"/>
          <w:kern w:val="0"/>
          <w:lang w:eastAsia="fr-FR"/>
        </w:rPr>
        <w:t xml:space="preserve"> antécédents familiaux, la résistance ou le virage sous antidépresseurs. Les dépressions du TB-II sont plus souvent atypiques.</w:t>
      </w:r>
    </w:p>
    <w:p w:rsidR="002B056B" w:rsidRDefault="00167DA9">
      <w:pPr>
        <w:jc w:val="both"/>
        <w:rPr>
          <w:rFonts w:eastAsia="Times New Roman"/>
          <w:kern w:val="0"/>
          <w:lang w:eastAsia="fr-FR"/>
        </w:rPr>
      </w:pPr>
      <w:r>
        <w:rPr>
          <w:rFonts w:eastAsia="Times New Roman"/>
          <w:kern w:val="0"/>
          <w:lang w:eastAsia="fr-FR"/>
        </w:rPr>
        <w:t xml:space="preserve">La différenciation avec le trouble de la personnalité borderline est difficile en raison du chevauchement symptomatique. Dans le </w:t>
      </w:r>
      <w:r>
        <w:rPr>
          <w:rFonts w:eastAsia="Times New Roman"/>
          <w:kern w:val="0"/>
          <w:lang w:eastAsia="fr-FR"/>
        </w:rPr>
        <w:t>TB-II, les fluctuations thymiques sont épisodiques et relativement autonomes, alors que dans le borderline elles sont réactives aux événements interpersonnels et s’accompagnent d’instabilité relationnelle et d’un sentiment chronique de vide.</w:t>
      </w:r>
    </w:p>
    <w:p w:rsidR="002B056B" w:rsidRDefault="00167DA9">
      <w:pPr>
        <w:jc w:val="both"/>
        <w:rPr>
          <w:rFonts w:eastAsia="Times New Roman"/>
          <w:kern w:val="0"/>
          <w:lang w:eastAsia="fr-FR"/>
        </w:rPr>
      </w:pPr>
      <w:r>
        <w:rPr>
          <w:rFonts w:eastAsia="Times New Roman"/>
          <w:kern w:val="0"/>
          <w:lang w:eastAsia="fr-FR"/>
        </w:rPr>
        <w:t>Les autres dia</w:t>
      </w:r>
      <w:r>
        <w:rPr>
          <w:rFonts w:eastAsia="Times New Roman"/>
          <w:kern w:val="0"/>
          <w:lang w:eastAsia="fr-FR"/>
        </w:rPr>
        <w:t>gnostics incluent le TB-I, caractérisé par des épisodes maniaques francs, la cyclothymie avec fluctuations chroniques atténuées, les troubles anxieux à symptomatologie continue, le TDAH avec symptômes persistants depuis l’enfance, le TSPT complexe (</w:t>
      </w:r>
      <w:proofErr w:type="spellStart"/>
      <w:r>
        <w:rPr>
          <w:rFonts w:eastAsia="Times New Roman"/>
          <w:kern w:val="0"/>
          <w:lang w:eastAsia="fr-FR"/>
        </w:rPr>
        <w:t>dysrégu</w:t>
      </w:r>
      <w:r>
        <w:rPr>
          <w:rFonts w:eastAsia="Times New Roman"/>
          <w:kern w:val="0"/>
          <w:lang w:eastAsia="fr-FR"/>
        </w:rPr>
        <w:t>lation</w:t>
      </w:r>
      <w:proofErr w:type="spellEnd"/>
      <w:r>
        <w:rPr>
          <w:rFonts w:eastAsia="Times New Roman"/>
          <w:kern w:val="0"/>
          <w:lang w:eastAsia="fr-FR"/>
        </w:rPr>
        <w:t xml:space="preserve"> émotionnelle post-traumatique non épisodique) et les troubles liés aux substances, où les variations de l’humeur sont induites par la consommation.</w:t>
      </w:r>
    </w:p>
    <w:p w:rsidR="002B056B" w:rsidRDefault="00167DA9">
      <w:pPr>
        <w:pStyle w:val="Paragraphedeliste"/>
        <w:numPr>
          <w:ilvl w:val="0"/>
          <w:numId w:val="1"/>
        </w:numPr>
        <w:jc w:val="both"/>
        <w:rPr>
          <w:b/>
          <w:bCs/>
          <w:color w:val="FF0000"/>
          <w:sz w:val="28"/>
          <w:szCs w:val="28"/>
          <w:u w:val="single"/>
        </w:rPr>
      </w:pPr>
      <w:r>
        <w:rPr>
          <w:b/>
          <w:bCs/>
          <w:color w:val="FF0000"/>
          <w:sz w:val="28"/>
          <w:szCs w:val="28"/>
          <w:u w:val="single"/>
        </w:rPr>
        <w:t>Dépistage :</w:t>
      </w:r>
      <w:bookmarkEnd w:id="1"/>
    </w:p>
    <w:p w:rsidR="002B056B" w:rsidRDefault="00167DA9">
      <w:pPr>
        <w:jc w:val="both"/>
      </w:pPr>
      <w:r>
        <w:t xml:space="preserve">Plusieurs outils permettent de dépister les antécédents d’hypomanie. Le </w:t>
      </w:r>
      <w:proofErr w:type="spellStart"/>
      <w:r>
        <w:t>Mood</w:t>
      </w:r>
      <w:proofErr w:type="spellEnd"/>
      <w:r>
        <w:t xml:space="preserve"> </w:t>
      </w:r>
      <w:proofErr w:type="spellStart"/>
      <w:r>
        <w:t>Disorder</w:t>
      </w:r>
      <w:proofErr w:type="spellEnd"/>
      <w:r>
        <w:t xml:space="preserve"> Que</w:t>
      </w:r>
      <w:r>
        <w:t xml:space="preserve">stionnaire est largement utilisé avec une bonne spécificité mais une sensibilité modérée, et détecte mieux le trouble bipolaire de type I que le trouble bipolaire de type II. Le </w:t>
      </w:r>
      <w:proofErr w:type="spellStart"/>
      <w:r>
        <w:t>Hypomania</w:t>
      </w:r>
      <w:proofErr w:type="spellEnd"/>
      <w:r>
        <w:t xml:space="preserve"> Checklist-32 est plus sensible pour les formes subtiles d’hypomanie </w:t>
      </w:r>
      <w:r>
        <w:t xml:space="preserve">mais moins spécifique. Le </w:t>
      </w:r>
      <w:proofErr w:type="spellStart"/>
      <w:r>
        <w:t>Rapid</w:t>
      </w:r>
      <w:proofErr w:type="spellEnd"/>
      <w:r>
        <w:t xml:space="preserve"> </w:t>
      </w:r>
      <w:proofErr w:type="spellStart"/>
      <w:r>
        <w:t>Mood</w:t>
      </w:r>
      <w:proofErr w:type="spellEnd"/>
      <w:r>
        <w:t xml:space="preserve"> </w:t>
      </w:r>
      <w:proofErr w:type="spellStart"/>
      <w:r>
        <w:t>Screener</w:t>
      </w:r>
      <w:proofErr w:type="spellEnd"/>
      <w:r>
        <w:t>, initialement conçu pour le trouble bipolaire de type I, montre également de bonnes performances et a été validé pour le trouble bipolaire de type II.</w:t>
      </w:r>
    </w:p>
    <w:p w:rsidR="002B056B" w:rsidRDefault="00167DA9">
      <w:pPr>
        <w:jc w:val="both"/>
      </w:pPr>
      <w:r>
        <w:t>Ces outils sont plus performants en milieu clinique qu’en p</w:t>
      </w:r>
      <w:r>
        <w:t>opulation générale, où le risque de faux positifs est plus élevé. Ils ne permettent pas de poser un diagnostic, mais orientent vers la nécessité d’une évaluation clinique approfondie.</w:t>
      </w:r>
    </w:p>
    <w:p w:rsidR="002B056B" w:rsidRDefault="002B056B">
      <w:pPr>
        <w:jc w:val="both"/>
      </w:pPr>
    </w:p>
    <w:p w:rsidR="002B056B" w:rsidRDefault="00167DA9">
      <w:pPr>
        <w:pStyle w:val="Paragraphedeliste"/>
        <w:numPr>
          <w:ilvl w:val="0"/>
          <w:numId w:val="1"/>
        </w:numPr>
        <w:jc w:val="both"/>
      </w:pPr>
      <w:r>
        <w:rPr>
          <w:rStyle w:val="Policepardfaut"/>
          <w:b/>
          <w:bCs/>
          <w:color w:val="FF0000"/>
          <w:sz w:val="28"/>
          <w:szCs w:val="28"/>
          <w:u w:val="single"/>
        </w:rPr>
        <w:lastRenderedPageBreak/>
        <w:t>Epidémiologie</w:t>
      </w:r>
      <w:r>
        <w:rPr>
          <w:rStyle w:val="Policepardfaut"/>
          <w:b/>
          <w:bCs/>
          <w:color w:val="FF0000"/>
          <w:sz w:val="28"/>
          <w:szCs w:val="28"/>
        </w:rPr>
        <w:t> :</w:t>
      </w:r>
    </w:p>
    <w:p w:rsidR="002B056B" w:rsidRDefault="00167DA9">
      <w:pPr>
        <w:jc w:val="both"/>
      </w:pPr>
      <w:r>
        <w:t xml:space="preserve">La prévalence du TB-II varie selon les études, </w:t>
      </w:r>
      <w:r>
        <w:t>généralement estimée entre 0,4% et 1,6%. Ces variations s’expliquent par des différences méthodologiques, l’absence de critères parfaitement standardisés et la difficulté diagnostique propre au TB-II.</w:t>
      </w:r>
    </w:p>
    <w:p w:rsidR="002B056B" w:rsidRDefault="00167DA9">
      <w:pPr>
        <w:jc w:val="both"/>
      </w:pPr>
      <w:r>
        <w:t>L’hétérogénéité des pratiques cliniques et l’adoption i</w:t>
      </w:r>
      <w:r>
        <w:t>ncomplète des classifications récentes compliquent également les estimations. Le TB-II semble plus fréquent chez les femmes, possiblement en lien avec des facteurs biologiques, psychosociaux et un biais diagnostique lié à la prédominance des symptômes dépr</w:t>
      </w:r>
      <w:r>
        <w:t>essifs.</w:t>
      </w:r>
    </w:p>
    <w:p w:rsidR="002B056B" w:rsidRDefault="00167DA9">
      <w:pPr>
        <w:pStyle w:val="Paragraphedeliste"/>
        <w:numPr>
          <w:ilvl w:val="0"/>
          <w:numId w:val="1"/>
        </w:numPr>
        <w:jc w:val="both"/>
      </w:pPr>
      <w:r>
        <w:rPr>
          <w:rStyle w:val="Policepardfaut"/>
          <w:b/>
          <w:bCs/>
          <w:color w:val="FF0000"/>
          <w:sz w:val="28"/>
          <w:szCs w:val="28"/>
          <w:u w:val="single"/>
        </w:rPr>
        <w:t>Evolution clinique </w:t>
      </w:r>
      <w:r>
        <w:rPr>
          <w:rStyle w:val="Policepardfaut"/>
          <w:b/>
          <w:bCs/>
          <w:color w:val="FF0000"/>
          <w:sz w:val="28"/>
          <w:szCs w:val="28"/>
        </w:rPr>
        <w:t>:</w:t>
      </w:r>
    </w:p>
    <w:p w:rsidR="002B056B" w:rsidRDefault="00167DA9">
      <w:pPr>
        <w:jc w:val="both"/>
      </w:pPr>
      <w:r>
        <w:t>Le TB-II débute souvent par des symptômes non spécifiques comme l’anxiété ou les troubles du sommeil, avant l’apparition des épisodes thymiques. Le diagnostic est souvent retardé d’environ dix ans, et le début survient générale</w:t>
      </w:r>
      <w:r>
        <w:t>ment à l’adolescence ou au début de l’âge adulte, avec une prédominance initiale des symptômes dépressifs.</w:t>
      </w:r>
    </w:p>
    <w:p w:rsidR="002B056B" w:rsidRDefault="00167DA9">
      <w:pPr>
        <w:jc w:val="both"/>
      </w:pPr>
      <w:r>
        <w:t>L’évolution est dominée par les épisodes dépressifs, responsables du principal retentissement fonctionnel. La récupération est souvent incomplète, av</w:t>
      </w:r>
      <w:r>
        <w:t>ec une forte variabilité des symptômes et une fréquence élevée des rechutes. Les cycles rapides sont plus fréquents et associés à un pronostic plus sévère.</w:t>
      </w:r>
    </w:p>
    <w:p w:rsidR="002B056B" w:rsidRDefault="00167DA9">
      <w:pPr>
        <w:jc w:val="both"/>
      </w:pPr>
      <w:r>
        <w:t>Les symptômes psychotiques sont moins fréquents que dans le TB-I mais aggravent la sévérité lorsqu’i</w:t>
      </w:r>
      <w:r>
        <w:t>ls sont présents. Malgré un recours moindre à l’hospitalisation, le TB-II est associé à une altération importante du fonctionnement, à des troubles cognitifs et à une diminution de la qualité de vie.</w:t>
      </w:r>
    </w:p>
    <w:p w:rsidR="002B056B" w:rsidRDefault="00167DA9">
      <w:pPr>
        <w:pStyle w:val="Paragraphedeliste"/>
        <w:numPr>
          <w:ilvl w:val="0"/>
          <w:numId w:val="1"/>
        </w:numPr>
        <w:jc w:val="both"/>
        <w:rPr>
          <w:b/>
          <w:bCs/>
          <w:color w:val="FF0000"/>
          <w:sz w:val="28"/>
          <w:szCs w:val="28"/>
          <w:u w:val="single"/>
        </w:rPr>
      </w:pPr>
      <w:r>
        <w:rPr>
          <w:b/>
          <w:bCs/>
          <w:color w:val="FF0000"/>
          <w:sz w:val="28"/>
          <w:szCs w:val="28"/>
          <w:u w:val="single"/>
        </w:rPr>
        <w:t>Comorbidités psychiatriques :</w:t>
      </w:r>
    </w:p>
    <w:p w:rsidR="002B056B" w:rsidRDefault="00167DA9">
      <w:pPr>
        <w:jc w:val="both"/>
      </w:pPr>
      <w:r>
        <w:t>Les comorbidités psychiatr</w:t>
      </w:r>
      <w:r>
        <w:t>iques sont très fréquentes dans le TB-II et concernent la majorité des patients. Les troubles anxieux sont les plus fréquents, souvent présents dès les phases prodromiques et associés à une résistance au traitement et à un risque suicidaire accru.</w:t>
      </w:r>
    </w:p>
    <w:p w:rsidR="002B056B" w:rsidRDefault="00167DA9">
      <w:pPr>
        <w:jc w:val="both"/>
      </w:pPr>
      <w:r>
        <w:t>Le troub</w:t>
      </w:r>
      <w:r>
        <w:t>le obsessionnel-compulsif, le TDAH et le trouble de la personnalité borderline sont également fréquents, ce dernier posant des difficultés diagnostiques importantes en raison du chevauchement symptomatique.</w:t>
      </w:r>
    </w:p>
    <w:p w:rsidR="002B056B" w:rsidRDefault="00167DA9">
      <w:pPr>
        <w:jc w:val="both"/>
      </w:pPr>
      <w:r>
        <w:t>Les troubles liés à l’usage de substances, notamm</w:t>
      </w:r>
      <w:r>
        <w:t xml:space="preserve">ent l’alcool et les benzodiazépines, concernent environ la moitié des patients et aggravent l’évolution. Les troubles du comportement alimentaire, en particulier le </w:t>
      </w:r>
      <w:proofErr w:type="spellStart"/>
      <w:r>
        <w:t>binge</w:t>
      </w:r>
      <w:proofErr w:type="spellEnd"/>
      <w:r>
        <w:t xml:space="preserve"> </w:t>
      </w:r>
      <w:proofErr w:type="spellStart"/>
      <w:r>
        <w:t>eating</w:t>
      </w:r>
      <w:proofErr w:type="spellEnd"/>
      <w:r>
        <w:t>, sont également fréquents et contribuent aux complications métaboliques et à l</w:t>
      </w:r>
      <w:r>
        <w:t>a chronicité des épisodes dépressifs.</w:t>
      </w:r>
    </w:p>
    <w:p w:rsidR="002B056B" w:rsidRDefault="00167DA9">
      <w:pPr>
        <w:pStyle w:val="Paragraphedeliste"/>
        <w:numPr>
          <w:ilvl w:val="0"/>
          <w:numId w:val="1"/>
        </w:numPr>
        <w:jc w:val="both"/>
        <w:rPr>
          <w:b/>
          <w:bCs/>
          <w:color w:val="FF0000"/>
          <w:sz w:val="28"/>
          <w:szCs w:val="28"/>
          <w:u w:val="single"/>
        </w:rPr>
      </w:pPr>
      <w:r>
        <w:rPr>
          <w:b/>
          <w:bCs/>
          <w:color w:val="FF0000"/>
          <w:sz w:val="28"/>
          <w:szCs w:val="28"/>
          <w:u w:val="single"/>
        </w:rPr>
        <w:t>Risque suicidaire :</w:t>
      </w:r>
    </w:p>
    <w:p w:rsidR="002B056B" w:rsidRDefault="00167DA9">
      <w:pPr>
        <w:jc w:val="both"/>
      </w:pPr>
      <w:r>
        <w:t>Le TB-II est associé à un risque suicidaire élevé, avec environ un tiers des patients ayant des antécédents de tentative de suicide. Le risque est particulièrement important dans la première année s</w:t>
      </w:r>
      <w:r>
        <w:t>uivant le diagnostic.</w:t>
      </w:r>
    </w:p>
    <w:p w:rsidR="002B056B" w:rsidRDefault="00167DA9">
      <w:pPr>
        <w:jc w:val="both"/>
      </w:pPr>
      <w:r>
        <w:t xml:space="preserve">Le risque de suicide complété est comparable, voire supérieur, à celui du TB-I. Ce risque élevé s’explique par la forte charge dépressive, le retard diagnostique, la fréquence des comorbidités anxieuses, la présence d’états mixtes et </w:t>
      </w:r>
      <w:r>
        <w:t>l’altération du fonctionnement global.</w:t>
      </w:r>
    </w:p>
    <w:p w:rsidR="002B056B" w:rsidRDefault="002B056B">
      <w:pPr>
        <w:jc w:val="both"/>
      </w:pPr>
    </w:p>
    <w:p w:rsidR="002B056B" w:rsidRDefault="002B056B">
      <w:pPr>
        <w:jc w:val="both"/>
      </w:pPr>
    </w:p>
    <w:p w:rsidR="002B056B" w:rsidRDefault="00167DA9">
      <w:pPr>
        <w:pStyle w:val="Paragraphedeliste"/>
        <w:numPr>
          <w:ilvl w:val="0"/>
          <w:numId w:val="1"/>
        </w:numPr>
        <w:jc w:val="both"/>
        <w:rPr>
          <w:b/>
          <w:bCs/>
          <w:color w:val="FF0000"/>
          <w:sz w:val="28"/>
          <w:szCs w:val="28"/>
          <w:u w:val="single"/>
        </w:rPr>
      </w:pPr>
      <w:r>
        <w:rPr>
          <w:b/>
          <w:bCs/>
          <w:color w:val="FF0000"/>
          <w:sz w:val="28"/>
          <w:szCs w:val="28"/>
          <w:u w:val="single"/>
        </w:rPr>
        <w:t>Comorbidités somatiques :</w:t>
      </w:r>
    </w:p>
    <w:p w:rsidR="002B056B" w:rsidRDefault="00167DA9">
      <w:pPr>
        <w:jc w:val="both"/>
      </w:pPr>
      <w:r>
        <w:lastRenderedPageBreak/>
        <w:t xml:space="preserve">Les comorbidités somatiques sont très fréquentes dans le TB-II et contribuent à une réduction de l’espérance de vie de 10 à 20 ans. Les maladies cardiovasculaires constituent la principale </w:t>
      </w:r>
      <w:r>
        <w:t>cause de mortalité.</w:t>
      </w:r>
    </w:p>
    <w:p w:rsidR="002B056B" w:rsidRDefault="00167DA9">
      <w:pPr>
        <w:jc w:val="both"/>
      </w:pPr>
      <w:r>
        <w:t>Les troubles métaboliques, tels que l’obésité, le diabète et les dyslipidémies, sont particulièrement fréquents et associés à une évolution plus sévère. Les maladies auto-immunes, digestives et les douleurs chroniques sont également fré</w:t>
      </w:r>
      <w:r>
        <w:t>quentes et altèrent la qualité de vie.</w:t>
      </w:r>
    </w:p>
    <w:p w:rsidR="002B056B" w:rsidRDefault="00167DA9">
      <w:pPr>
        <w:jc w:val="both"/>
      </w:pPr>
      <w:r>
        <w:t>Ces comorbidités aggravent la résistance au traitement et nécessitent une prise en charge globale et multidisciplinaire.</w:t>
      </w:r>
    </w:p>
    <w:p w:rsidR="002B056B" w:rsidRDefault="00167DA9">
      <w:pPr>
        <w:pStyle w:val="Paragraphedeliste"/>
        <w:numPr>
          <w:ilvl w:val="0"/>
          <w:numId w:val="1"/>
        </w:numPr>
        <w:jc w:val="both"/>
        <w:rPr>
          <w:b/>
          <w:bCs/>
          <w:color w:val="FF0000"/>
          <w:sz w:val="28"/>
          <w:szCs w:val="28"/>
          <w:u w:val="single"/>
        </w:rPr>
      </w:pPr>
      <w:r>
        <w:rPr>
          <w:b/>
          <w:bCs/>
          <w:color w:val="FF0000"/>
          <w:sz w:val="28"/>
          <w:szCs w:val="28"/>
          <w:u w:val="single"/>
        </w:rPr>
        <w:t>Facteurs de risque et neurobiologie :</w:t>
      </w:r>
    </w:p>
    <w:p w:rsidR="002B056B" w:rsidRDefault="00167DA9">
      <w:pPr>
        <w:jc w:val="both"/>
      </w:pPr>
      <w:r>
        <w:t>Les traumatismes précoces, notamment les abus dans l’enfan</w:t>
      </w:r>
      <w:r>
        <w:t>ce, constituent un facteur de risque important, associé à un début plus précoce. Le stress chronique, la consommation de substances et les perturbations des rythmes circadiens peuvent déclencher ou aggraver les épisodes.</w:t>
      </w:r>
    </w:p>
    <w:p w:rsidR="002B056B" w:rsidRDefault="00167DA9">
      <w:pPr>
        <w:jc w:val="both"/>
      </w:pPr>
      <w:r>
        <w:t>Le TB-II présente une forte composa</w:t>
      </w:r>
      <w:r>
        <w:t>nte génétique et semble plus proche du trouble dépressif majeur que du TB-I sur le plan biologique.</w:t>
      </w:r>
    </w:p>
    <w:p w:rsidR="002B056B" w:rsidRDefault="00167DA9">
      <w:pPr>
        <w:jc w:val="both"/>
      </w:pPr>
      <w:r>
        <w:t>Sur le plan neurobiologique, une inflammation chronique et une dysfonction mitochondriale sont impliquées, pouvant expliquer les troubles de la régulation é</w:t>
      </w:r>
      <w:r>
        <w:t xml:space="preserve">nergétique. Ces mécanismes pourraient constituer des </w:t>
      </w:r>
      <w:proofErr w:type="spellStart"/>
      <w:r>
        <w:t>biomarqueurs</w:t>
      </w:r>
      <w:proofErr w:type="spellEnd"/>
      <w:r>
        <w:t xml:space="preserve"> et ouvrir de nouvelles perspectives thérapeutiques.</w:t>
      </w:r>
    </w:p>
    <w:p w:rsidR="002B056B" w:rsidRDefault="00167DA9">
      <w:pPr>
        <w:pStyle w:val="Paragraphedeliste"/>
        <w:numPr>
          <w:ilvl w:val="0"/>
          <w:numId w:val="1"/>
        </w:numPr>
        <w:jc w:val="both"/>
        <w:rPr>
          <w:b/>
          <w:bCs/>
          <w:color w:val="FF0000"/>
          <w:sz w:val="28"/>
          <w:szCs w:val="28"/>
          <w:u w:val="single"/>
        </w:rPr>
      </w:pPr>
      <w:r>
        <w:rPr>
          <w:b/>
          <w:bCs/>
          <w:color w:val="FF0000"/>
          <w:sz w:val="28"/>
          <w:szCs w:val="28"/>
          <w:u w:val="single"/>
        </w:rPr>
        <w:t>Prise en charge :</w:t>
      </w:r>
    </w:p>
    <w:p w:rsidR="002B056B" w:rsidRDefault="00167DA9">
      <w:pPr>
        <w:jc w:val="both"/>
      </w:pPr>
      <w:r>
        <w:t>Le traitement du trouble bipolaire de type II repose principalement sur des données issues du TB-I, avec peu d’études sp</w:t>
      </w:r>
      <w:r>
        <w:t>écifiques. La prise en charge est chronique, souvent à vie, et associe pharmacothérapie, psychothérapie, psychoéducation et mesures hygiéno-diététiques.</w:t>
      </w:r>
    </w:p>
    <w:p w:rsidR="002B056B" w:rsidRDefault="00167DA9">
      <w:pPr>
        <w:jc w:val="both"/>
      </w:pPr>
      <w:r>
        <w:t>En phase aiguë, le traitement dépend de la présentation clinique. L’hypomanie est rarement motif de con</w:t>
      </w:r>
      <w:r>
        <w:t xml:space="preserve">sultation ; la prise en charge vise à prévenir les complications (désinhibition, altération du jugement) et les rechutes dépressives. Il est recommandé d’arrêter les traitements inducteurs (antidépresseurs, stimulants) et d’utiliser des </w:t>
      </w:r>
      <w:proofErr w:type="spellStart"/>
      <w:r>
        <w:t>thymorégulateurs</w:t>
      </w:r>
      <w:proofErr w:type="spellEnd"/>
      <w:r>
        <w:t xml:space="preserve"> ou</w:t>
      </w:r>
      <w:r>
        <w:t xml:space="preserve"> antipsychotiques atypiques, associés à des mesures comportementales (régularité du sommeil, gestion du stress).</w:t>
      </w:r>
    </w:p>
    <w:p w:rsidR="002B056B" w:rsidRDefault="00167DA9">
      <w:pPr>
        <w:jc w:val="both"/>
      </w:pPr>
      <w:r>
        <w:t xml:space="preserve">La dépression bipolaire est la phase la plus difficile à traiter. La </w:t>
      </w:r>
      <w:proofErr w:type="spellStart"/>
      <w:r>
        <w:t>quétiapine</w:t>
      </w:r>
      <w:proofErr w:type="spellEnd"/>
      <w:r>
        <w:t xml:space="preserve"> est le traitement de première intention. D’autres options inclu</w:t>
      </w:r>
      <w:r>
        <w:t xml:space="preserve">ent la </w:t>
      </w:r>
      <w:proofErr w:type="spellStart"/>
      <w:r>
        <w:t>lamotrigine</w:t>
      </w:r>
      <w:proofErr w:type="spellEnd"/>
      <w:r>
        <w:t xml:space="preserve"> et certains antipsychotiques (</w:t>
      </w:r>
      <w:proofErr w:type="spellStart"/>
      <w:r>
        <w:t>olanzapine</w:t>
      </w:r>
      <w:proofErr w:type="spellEnd"/>
      <w:r>
        <w:t xml:space="preserve">, </w:t>
      </w:r>
      <w:proofErr w:type="spellStart"/>
      <w:r>
        <w:t>lurasidone</w:t>
      </w:r>
      <w:proofErr w:type="spellEnd"/>
      <w:r>
        <w:t xml:space="preserve">, </w:t>
      </w:r>
      <w:proofErr w:type="spellStart"/>
      <w:r>
        <w:t>cariprazine</w:t>
      </w:r>
      <w:proofErr w:type="spellEnd"/>
      <w:r>
        <w:t xml:space="preserve">, </w:t>
      </w:r>
      <w:proofErr w:type="spellStart"/>
      <w:r>
        <w:t>lumateperone</w:t>
      </w:r>
      <w:proofErr w:type="spellEnd"/>
      <w:r>
        <w:t xml:space="preserve">). La </w:t>
      </w:r>
      <w:proofErr w:type="spellStart"/>
      <w:r>
        <w:t>lamotrigine</w:t>
      </w:r>
      <w:proofErr w:type="spellEnd"/>
      <w:r>
        <w:t xml:space="preserve"> est bien tolérée mais d’action lente. Les antidépresseurs restent controversés en raison du risque de virage hypomaniaque et doivent être ut</w:t>
      </w:r>
      <w:r>
        <w:t xml:space="preserve">ilisés avec prudence, en association avec un </w:t>
      </w:r>
      <w:proofErr w:type="spellStart"/>
      <w:r>
        <w:t>thymorégulateur</w:t>
      </w:r>
      <w:proofErr w:type="spellEnd"/>
      <w:r>
        <w:t xml:space="preserve">, le </w:t>
      </w:r>
      <w:proofErr w:type="spellStart"/>
      <w:r>
        <w:t>bupropion</w:t>
      </w:r>
      <w:proofErr w:type="spellEnd"/>
      <w:r>
        <w:t xml:space="preserve"> étant associé à un risque plus faible.</w:t>
      </w:r>
    </w:p>
    <w:p w:rsidR="002B056B" w:rsidRDefault="00167DA9">
      <w:pPr>
        <w:jc w:val="both"/>
      </w:pPr>
      <w:r>
        <w:t>Le lithium reste un traitement de référence, surtout en prévention des rechutes, malgré une efficacité discutée dans la dépression. Des approc</w:t>
      </w:r>
      <w:r>
        <w:t>hes innovantes comme la kétamine ou la psilocybine montrent des résultats préliminaires.</w:t>
      </w:r>
    </w:p>
    <w:p w:rsidR="002B056B" w:rsidRDefault="00167DA9">
      <w:pPr>
        <w:jc w:val="both"/>
      </w:pPr>
      <w:r>
        <w:t xml:space="preserve">Le traitement de maintenance est essentiel pour prévenir les rechutes, avec la </w:t>
      </w:r>
      <w:proofErr w:type="spellStart"/>
      <w:r>
        <w:t>quétiapine</w:t>
      </w:r>
      <w:proofErr w:type="spellEnd"/>
      <w:r>
        <w:t xml:space="preserve">, le lithium et la </w:t>
      </w:r>
      <w:proofErr w:type="spellStart"/>
      <w:r>
        <w:t>lamotrigine</w:t>
      </w:r>
      <w:proofErr w:type="spellEnd"/>
      <w:r>
        <w:t xml:space="preserve"> comme options principales. Le lithium réduit le</w:t>
      </w:r>
      <w:r>
        <w:t xml:space="preserve">s épisodes thymiques, tandis que la </w:t>
      </w:r>
      <w:proofErr w:type="spellStart"/>
      <w:r>
        <w:t>quétiapine</w:t>
      </w:r>
      <w:proofErr w:type="spellEnd"/>
      <w:r>
        <w:t xml:space="preserve"> est efficace sur les rechutes dépressives et globales.</w:t>
      </w:r>
    </w:p>
    <w:p w:rsidR="002B056B" w:rsidRDefault="00167DA9">
      <w:pPr>
        <w:jc w:val="both"/>
      </w:pPr>
      <w:r>
        <w:t xml:space="preserve">Les psychothérapies complètent le traitement : la thérapie </w:t>
      </w:r>
      <w:proofErr w:type="spellStart"/>
      <w:r>
        <w:t>cognitivo</w:t>
      </w:r>
      <w:proofErr w:type="spellEnd"/>
      <w:r>
        <w:t xml:space="preserve">-comportementale améliore les stratégies d’adaptation, la thérapie familiale renforce </w:t>
      </w:r>
      <w:r>
        <w:t xml:space="preserve">le soutien, et la thérapie </w:t>
      </w:r>
      <w:r>
        <w:lastRenderedPageBreak/>
        <w:t>interpersonnelle et des rythmes sociaux stabilise les routines. Elles réduisent les rechutes lorsqu’elles sont associées au traitement médicamenteux.</w:t>
      </w:r>
    </w:p>
    <w:p w:rsidR="002B056B" w:rsidRDefault="00167DA9">
      <w:pPr>
        <w:jc w:val="both"/>
      </w:pPr>
      <w:r>
        <w:t>La psychoéducation améliore la compréhension de la maladie, la reconnaissance d</w:t>
      </w:r>
      <w:r>
        <w:t>es signes précoces et l’observance. Enfin, les mesures de mode de vie restent essentielles, incluant régularité du sommeil, gestion du stress, activité physique, alimentation équilibrée et surveillance des facteurs cardiovasculaires et métaboliques.</w:t>
      </w:r>
    </w:p>
    <w:p w:rsidR="002B056B" w:rsidRDefault="00167DA9">
      <w:pPr>
        <w:pStyle w:val="Paragraphedeliste"/>
        <w:numPr>
          <w:ilvl w:val="0"/>
          <w:numId w:val="1"/>
        </w:numPr>
        <w:jc w:val="both"/>
        <w:rPr>
          <w:b/>
          <w:bCs/>
          <w:color w:val="FF0000"/>
          <w:sz w:val="28"/>
          <w:szCs w:val="28"/>
          <w:u w:val="single"/>
        </w:rPr>
      </w:pPr>
      <w:r>
        <w:rPr>
          <w:b/>
          <w:bCs/>
          <w:color w:val="FF0000"/>
          <w:sz w:val="28"/>
          <w:szCs w:val="28"/>
          <w:u w:val="single"/>
        </w:rPr>
        <w:t>Conclu</w:t>
      </w:r>
      <w:r>
        <w:rPr>
          <w:b/>
          <w:bCs/>
          <w:color w:val="FF0000"/>
          <w:sz w:val="28"/>
          <w:szCs w:val="28"/>
          <w:u w:val="single"/>
        </w:rPr>
        <w:t>sion :</w:t>
      </w:r>
    </w:p>
    <w:p w:rsidR="002B056B" w:rsidRDefault="00167DA9">
      <w:pPr>
        <w:jc w:val="both"/>
      </w:pPr>
      <w:r>
        <w:t>Le trouble bipolaire de type II est une pathologie fréquente mais sous-diagnostiquée, dominée par des épisodes dépressifs avec un retentissement fonctionnel important et un risque suicidaire élevé. Sa prise en charge repose sur des traitements extra</w:t>
      </w:r>
      <w:r>
        <w:t xml:space="preserve">polés du TB-I, associant </w:t>
      </w:r>
      <w:proofErr w:type="spellStart"/>
      <w:r>
        <w:t>thymorégulateurs</w:t>
      </w:r>
      <w:proofErr w:type="spellEnd"/>
      <w:r>
        <w:t>, antipsychotiques et psychothérapies. Les nombreuses comorbidités psychiatriques et somatiques imposent une approche globale et multidisciplinaire.</w:t>
      </w:r>
    </w:p>
    <w:p w:rsidR="002B056B" w:rsidRDefault="00167DA9">
      <w:pPr>
        <w:spacing w:after="0"/>
        <w:jc w:val="center"/>
        <w:rPr>
          <w:sz w:val="14"/>
          <w:szCs w:val="14"/>
        </w:rPr>
      </w:pPr>
      <w:r>
        <w:rPr>
          <w:sz w:val="14"/>
          <w:szCs w:val="14"/>
        </w:rPr>
        <w:t>Traduit de l’anglais et synthétisé par Dr NAJMI YASMINE</w:t>
      </w:r>
    </w:p>
    <w:p w:rsidR="002B056B" w:rsidRDefault="00167DA9">
      <w:pPr>
        <w:spacing w:after="0"/>
        <w:jc w:val="center"/>
        <w:rPr>
          <w:sz w:val="14"/>
          <w:szCs w:val="14"/>
        </w:rPr>
      </w:pPr>
      <w:r>
        <w:rPr>
          <w:sz w:val="14"/>
          <w:szCs w:val="14"/>
        </w:rPr>
        <w:t>CHU MOHAME</w:t>
      </w:r>
      <w:r>
        <w:rPr>
          <w:sz w:val="14"/>
          <w:szCs w:val="14"/>
        </w:rPr>
        <w:t>D VI</w:t>
      </w:r>
    </w:p>
    <w:p w:rsidR="002B056B" w:rsidRDefault="00167DA9">
      <w:pPr>
        <w:spacing w:after="0"/>
        <w:jc w:val="center"/>
        <w:rPr>
          <w:sz w:val="14"/>
          <w:szCs w:val="14"/>
        </w:rPr>
      </w:pPr>
      <w:r>
        <w:rPr>
          <w:sz w:val="14"/>
          <w:szCs w:val="14"/>
        </w:rPr>
        <w:t>Faculté de médecine et de pharmacie d’AGADIR</w:t>
      </w:r>
    </w:p>
    <w:p w:rsidR="002B056B" w:rsidRDefault="00167DA9">
      <w:pPr>
        <w:spacing w:after="0"/>
        <w:jc w:val="center"/>
        <w:rPr>
          <w:sz w:val="14"/>
          <w:szCs w:val="14"/>
        </w:rPr>
      </w:pPr>
      <w:r>
        <w:rPr>
          <w:sz w:val="14"/>
          <w:szCs w:val="14"/>
        </w:rPr>
        <w:t>Avril 2026</w:t>
      </w:r>
    </w:p>
    <w:p w:rsidR="002B056B" w:rsidRDefault="002B056B">
      <w:pPr>
        <w:jc w:val="both"/>
        <w:rPr>
          <w:sz w:val="18"/>
          <w:szCs w:val="18"/>
        </w:rPr>
      </w:pPr>
    </w:p>
    <w:p w:rsidR="002B056B" w:rsidRDefault="002B056B">
      <w:pPr>
        <w:jc w:val="both"/>
        <w:rPr>
          <w:sz w:val="18"/>
          <w:szCs w:val="18"/>
        </w:rPr>
      </w:pPr>
    </w:p>
    <w:sectPr w:rsidR="002B056B">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DA9" w:rsidRDefault="00167DA9">
      <w:pPr>
        <w:spacing w:after="0"/>
      </w:pPr>
      <w:r>
        <w:separator/>
      </w:r>
    </w:p>
  </w:endnote>
  <w:endnote w:type="continuationSeparator" w:id="0">
    <w:p w:rsidR="00167DA9" w:rsidRDefault="00167D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DA9" w:rsidRDefault="00167DA9">
      <w:pPr>
        <w:spacing w:after="0"/>
      </w:pPr>
      <w:r>
        <w:rPr>
          <w:color w:val="000000"/>
        </w:rPr>
        <w:separator/>
      </w:r>
    </w:p>
  </w:footnote>
  <w:footnote w:type="continuationSeparator" w:id="0">
    <w:p w:rsidR="00167DA9" w:rsidRDefault="00167DA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41773"/>
    <w:multiLevelType w:val="multilevel"/>
    <w:tmpl w:val="86D04B7C"/>
    <w:lvl w:ilvl="0">
      <w:start w:val="1"/>
      <w:numFmt w:val="upperRoman"/>
      <w:lvlText w:val="%1."/>
      <w:lvlJc w:val="left"/>
      <w:pPr>
        <w:ind w:left="720" w:hanging="720"/>
      </w:pPr>
      <w:rPr>
        <w:b/>
        <w:bCs/>
        <w:color w:val="EE0000"/>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B056B"/>
    <w:rsid w:val="0007771B"/>
    <w:rsid w:val="00167DA9"/>
    <w:rsid w:val="001A28BF"/>
    <w:rsid w:val="002B056B"/>
    <w:rsid w:val="003108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rial"/>
        <w:kern w:val="3"/>
        <w:sz w:val="22"/>
        <w:szCs w:val="22"/>
        <w:lang w:val="fr-FR"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2">
    <w:name w:val="Titre 2"/>
    <w:basedOn w:val="Normal"/>
    <w:next w:val="Normal"/>
    <w:pPr>
      <w:keepNext/>
      <w:keepLines/>
      <w:spacing w:before="40" w:after="0"/>
      <w:outlineLvl w:val="1"/>
    </w:pPr>
    <w:rPr>
      <w:rFonts w:ascii="Aptos Display" w:eastAsia="Times New Roman" w:hAnsi="Aptos Display" w:cs="Times New Roman"/>
      <w:color w:val="0F4761"/>
      <w:sz w:val="26"/>
      <w:szCs w:val="26"/>
    </w:rPr>
  </w:style>
  <w:style w:type="paragraph" w:customStyle="1" w:styleId="Titre3">
    <w:name w:val="Titre 3"/>
    <w:basedOn w:val="Normal"/>
    <w:pPr>
      <w:spacing w:before="100" w:after="100"/>
      <w:outlineLvl w:val="2"/>
    </w:pPr>
    <w:rPr>
      <w:rFonts w:ascii="Times New Roman" w:eastAsia="Times New Roman" w:hAnsi="Times New Roman" w:cs="Times New Roman"/>
      <w:b/>
      <w:bCs/>
      <w:kern w:val="0"/>
      <w:sz w:val="27"/>
      <w:szCs w:val="27"/>
      <w:lang w:eastAsia="fr-FR"/>
    </w:rPr>
  </w:style>
  <w:style w:type="paragraph" w:customStyle="1" w:styleId="Titre4">
    <w:name w:val="Titre 4"/>
    <w:basedOn w:val="Normal"/>
    <w:pPr>
      <w:spacing w:before="100" w:after="100"/>
      <w:outlineLvl w:val="3"/>
    </w:pPr>
    <w:rPr>
      <w:rFonts w:ascii="Times New Roman" w:eastAsia="Times New Roman" w:hAnsi="Times New Roman" w:cs="Times New Roman"/>
      <w:b/>
      <w:bCs/>
      <w:kern w:val="0"/>
      <w:sz w:val="24"/>
      <w:szCs w:val="24"/>
      <w:lang w:eastAsia="fr-FR"/>
    </w:rPr>
  </w:style>
  <w:style w:type="character" w:customStyle="1" w:styleId="Policepardfaut">
    <w:name w:val="Police par défaut"/>
  </w:style>
  <w:style w:type="paragraph" w:customStyle="1" w:styleId="Paragraphedeliste">
    <w:name w:val="Paragraphe de liste"/>
    <w:basedOn w:val="Normal"/>
    <w:pPr>
      <w:ind w:left="720"/>
    </w:pPr>
  </w:style>
  <w:style w:type="character" w:customStyle="1" w:styleId="Titre3Car">
    <w:name w:val="Titre 3 Car"/>
    <w:basedOn w:val="Policepardfaut"/>
    <w:rPr>
      <w:rFonts w:ascii="Times New Roman" w:eastAsia="Times New Roman" w:hAnsi="Times New Roman" w:cs="Times New Roman"/>
      <w:b/>
      <w:bCs/>
      <w:kern w:val="0"/>
      <w:sz w:val="27"/>
      <w:szCs w:val="27"/>
      <w:lang w:eastAsia="fr-FR"/>
    </w:rPr>
  </w:style>
  <w:style w:type="character" w:customStyle="1" w:styleId="Titre4Car">
    <w:name w:val="Titre 4 Car"/>
    <w:basedOn w:val="Policepardfaut"/>
    <w:rPr>
      <w:rFonts w:ascii="Times New Roman" w:eastAsia="Times New Roman" w:hAnsi="Times New Roman" w:cs="Times New Roman"/>
      <w:b/>
      <w:bCs/>
      <w:kern w:val="0"/>
      <w:sz w:val="24"/>
      <w:szCs w:val="24"/>
      <w:lang w:eastAsia="fr-FR"/>
    </w:rPr>
  </w:style>
  <w:style w:type="paragraph" w:styleId="NormalWeb">
    <w:name w:val="Normal (Web)"/>
    <w:basedOn w:val="Normal"/>
    <w:pPr>
      <w:spacing w:before="100" w:after="100"/>
    </w:pPr>
    <w:rPr>
      <w:rFonts w:ascii="Times New Roman" w:eastAsia="Times New Roman" w:hAnsi="Times New Roman" w:cs="Times New Roman"/>
      <w:kern w:val="0"/>
      <w:sz w:val="24"/>
      <w:szCs w:val="24"/>
      <w:lang w:eastAsia="fr-FR"/>
    </w:rPr>
  </w:style>
  <w:style w:type="paragraph" w:customStyle="1" w:styleId="En-tte">
    <w:name w:val="En-tête"/>
    <w:basedOn w:val="Normal"/>
    <w:pPr>
      <w:tabs>
        <w:tab w:val="center" w:pos="4536"/>
        <w:tab w:val="right" w:pos="9072"/>
      </w:tabs>
      <w:spacing w:after="0"/>
    </w:pPr>
  </w:style>
  <w:style w:type="character" w:customStyle="1" w:styleId="En-tteCar">
    <w:name w:val="En-tête Car"/>
    <w:basedOn w:val="Policepardfaut"/>
  </w:style>
  <w:style w:type="paragraph" w:customStyle="1" w:styleId="Pieddepage">
    <w:name w:val="Pied de page"/>
    <w:basedOn w:val="Normal"/>
    <w:pPr>
      <w:tabs>
        <w:tab w:val="center" w:pos="4536"/>
        <w:tab w:val="right" w:pos="9072"/>
      </w:tabs>
      <w:spacing w:after="0"/>
    </w:pPr>
  </w:style>
  <w:style w:type="character" w:customStyle="1" w:styleId="PieddepageCar">
    <w:name w:val="Pied de page Car"/>
    <w:basedOn w:val="Policepardfaut"/>
  </w:style>
  <w:style w:type="character" w:customStyle="1" w:styleId="Titre2Car">
    <w:name w:val="Titre 2 Car"/>
    <w:basedOn w:val="Policepardfaut"/>
    <w:rPr>
      <w:rFonts w:ascii="Aptos Display" w:eastAsia="Times New Roman" w:hAnsi="Aptos Display" w:cs="Times New Roman"/>
      <w:color w:val="0F4761"/>
      <w:sz w:val="26"/>
      <w:szCs w:val="26"/>
    </w:rPr>
  </w:style>
  <w:style w:type="paragraph" w:styleId="BalloonText">
    <w:name w:val="Balloon Text"/>
    <w:basedOn w:val="Normal"/>
    <w:link w:val="BalloonTextChar"/>
    <w:uiPriority w:val="99"/>
    <w:semiHidden/>
    <w:unhideWhenUsed/>
    <w:rsid w:val="001A28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8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rial"/>
        <w:kern w:val="3"/>
        <w:sz w:val="22"/>
        <w:szCs w:val="22"/>
        <w:lang w:val="fr-FR"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2">
    <w:name w:val="Titre 2"/>
    <w:basedOn w:val="Normal"/>
    <w:next w:val="Normal"/>
    <w:pPr>
      <w:keepNext/>
      <w:keepLines/>
      <w:spacing w:before="40" w:after="0"/>
      <w:outlineLvl w:val="1"/>
    </w:pPr>
    <w:rPr>
      <w:rFonts w:ascii="Aptos Display" w:eastAsia="Times New Roman" w:hAnsi="Aptos Display" w:cs="Times New Roman"/>
      <w:color w:val="0F4761"/>
      <w:sz w:val="26"/>
      <w:szCs w:val="26"/>
    </w:rPr>
  </w:style>
  <w:style w:type="paragraph" w:customStyle="1" w:styleId="Titre3">
    <w:name w:val="Titre 3"/>
    <w:basedOn w:val="Normal"/>
    <w:pPr>
      <w:spacing w:before="100" w:after="100"/>
      <w:outlineLvl w:val="2"/>
    </w:pPr>
    <w:rPr>
      <w:rFonts w:ascii="Times New Roman" w:eastAsia="Times New Roman" w:hAnsi="Times New Roman" w:cs="Times New Roman"/>
      <w:b/>
      <w:bCs/>
      <w:kern w:val="0"/>
      <w:sz w:val="27"/>
      <w:szCs w:val="27"/>
      <w:lang w:eastAsia="fr-FR"/>
    </w:rPr>
  </w:style>
  <w:style w:type="paragraph" w:customStyle="1" w:styleId="Titre4">
    <w:name w:val="Titre 4"/>
    <w:basedOn w:val="Normal"/>
    <w:pPr>
      <w:spacing w:before="100" w:after="100"/>
      <w:outlineLvl w:val="3"/>
    </w:pPr>
    <w:rPr>
      <w:rFonts w:ascii="Times New Roman" w:eastAsia="Times New Roman" w:hAnsi="Times New Roman" w:cs="Times New Roman"/>
      <w:b/>
      <w:bCs/>
      <w:kern w:val="0"/>
      <w:sz w:val="24"/>
      <w:szCs w:val="24"/>
      <w:lang w:eastAsia="fr-FR"/>
    </w:rPr>
  </w:style>
  <w:style w:type="character" w:customStyle="1" w:styleId="Policepardfaut">
    <w:name w:val="Police par défaut"/>
  </w:style>
  <w:style w:type="paragraph" w:customStyle="1" w:styleId="Paragraphedeliste">
    <w:name w:val="Paragraphe de liste"/>
    <w:basedOn w:val="Normal"/>
    <w:pPr>
      <w:ind w:left="720"/>
    </w:pPr>
  </w:style>
  <w:style w:type="character" w:customStyle="1" w:styleId="Titre3Car">
    <w:name w:val="Titre 3 Car"/>
    <w:basedOn w:val="Policepardfaut"/>
    <w:rPr>
      <w:rFonts w:ascii="Times New Roman" w:eastAsia="Times New Roman" w:hAnsi="Times New Roman" w:cs="Times New Roman"/>
      <w:b/>
      <w:bCs/>
      <w:kern w:val="0"/>
      <w:sz w:val="27"/>
      <w:szCs w:val="27"/>
      <w:lang w:eastAsia="fr-FR"/>
    </w:rPr>
  </w:style>
  <w:style w:type="character" w:customStyle="1" w:styleId="Titre4Car">
    <w:name w:val="Titre 4 Car"/>
    <w:basedOn w:val="Policepardfaut"/>
    <w:rPr>
      <w:rFonts w:ascii="Times New Roman" w:eastAsia="Times New Roman" w:hAnsi="Times New Roman" w:cs="Times New Roman"/>
      <w:b/>
      <w:bCs/>
      <w:kern w:val="0"/>
      <w:sz w:val="24"/>
      <w:szCs w:val="24"/>
      <w:lang w:eastAsia="fr-FR"/>
    </w:rPr>
  </w:style>
  <w:style w:type="paragraph" w:styleId="NormalWeb">
    <w:name w:val="Normal (Web)"/>
    <w:basedOn w:val="Normal"/>
    <w:pPr>
      <w:spacing w:before="100" w:after="100"/>
    </w:pPr>
    <w:rPr>
      <w:rFonts w:ascii="Times New Roman" w:eastAsia="Times New Roman" w:hAnsi="Times New Roman" w:cs="Times New Roman"/>
      <w:kern w:val="0"/>
      <w:sz w:val="24"/>
      <w:szCs w:val="24"/>
      <w:lang w:eastAsia="fr-FR"/>
    </w:rPr>
  </w:style>
  <w:style w:type="paragraph" w:customStyle="1" w:styleId="En-tte">
    <w:name w:val="En-tête"/>
    <w:basedOn w:val="Normal"/>
    <w:pPr>
      <w:tabs>
        <w:tab w:val="center" w:pos="4536"/>
        <w:tab w:val="right" w:pos="9072"/>
      </w:tabs>
      <w:spacing w:after="0"/>
    </w:pPr>
  </w:style>
  <w:style w:type="character" w:customStyle="1" w:styleId="En-tteCar">
    <w:name w:val="En-tête Car"/>
    <w:basedOn w:val="Policepardfaut"/>
  </w:style>
  <w:style w:type="paragraph" w:customStyle="1" w:styleId="Pieddepage">
    <w:name w:val="Pied de page"/>
    <w:basedOn w:val="Normal"/>
    <w:pPr>
      <w:tabs>
        <w:tab w:val="center" w:pos="4536"/>
        <w:tab w:val="right" w:pos="9072"/>
      </w:tabs>
      <w:spacing w:after="0"/>
    </w:pPr>
  </w:style>
  <w:style w:type="character" w:customStyle="1" w:styleId="PieddepageCar">
    <w:name w:val="Pied de page Car"/>
    <w:basedOn w:val="Policepardfaut"/>
  </w:style>
  <w:style w:type="character" w:customStyle="1" w:styleId="Titre2Car">
    <w:name w:val="Titre 2 Car"/>
    <w:basedOn w:val="Policepardfaut"/>
    <w:rPr>
      <w:rFonts w:ascii="Aptos Display" w:eastAsia="Times New Roman" w:hAnsi="Aptos Display" w:cs="Times New Roman"/>
      <w:color w:val="0F4761"/>
      <w:sz w:val="26"/>
      <w:szCs w:val="26"/>
    </w:rPr>
  </w:style>
  <w:style w:type="paragraph" w:styleId="BalloonText">
    <w:name w:val="Balloon Text"/>
    <w:basedOn w:val="Normal"/>
    <w:link w:val="BalloonTextChar"/>
    <w:uiPriority w:val="99"/>
    <w:semiHidden/>
    <w:unhideWhenUsed/>
    <w:rsid w:val="001A28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8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2045</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 najmi</dc:creator>
  <cp:lastModifiedBy>hp</cp:lastModifiedBy>
  <cp:revision>2</cp:revision>
  <dcterms:created xsi:type="dcterms:W3CDTF">2026-04-29T10:50:00Z</dcterms:created>
  <dcterms:modified xsi:type="dcterms:W3CDTF">2026-04-29T10:50:00Z</dcterms:modified>
</cp:coreProperties>
</file>