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1ED2" w14:textId="48A6BF12" w:rsidR="663C56C8" w:rsidRDefault="645ACF38" w:rsidP="1931C456">
      <w:pPr>
        <w:jc w:val="center"/>
        <w:rPr>
          <w:rFonts w:ascii="Aptos Display" w:eastAsia="Aptos Display" w:hAnsi="Aptos Display" w:cs="Aptos Display"/>
          <w:sz w:val="52"/>
          <w:szCs w:val="52"/>
        </w:rPr>
      </w:pPr>
      <w:r w:rsidRPr="1931C456">
        <w:rPr>
          <w:rFonts w:ascii="Aptos Display" w:eastAsia="Aptos Display" w:hAnsi="Aptos Display" w:cs="Aptos Display"/>
          <w:sz w:val="52"/>
          <w:szCs w:val="52"/>
        </w:rPr>
        <w:t>Pharmacothérapie du trouble lié à l'usage de cocaïne — revue systématique et méta-analyse</w:t>
      </w:r>
    </w:p>
    <w:p w14:paraId="68756CA2" w14:textId="27CE8A5E" w:rsidR="663C56C8" w:rsidRDefault="3109CAA9" w:rsidP="1931C456">
      <w:pPr>
        <w:spacing w:after="0"/>
        <w:jc w:val="center"/>
        <w:rPr>
          <w:rFonts w:ascii="Aptos Display" w:eastAsia="Aptos Display" w:hAnsi="Aptos Display" w:cs="Aptos Display"/>
          <w:sz w:val="52"/>
          <w:szCs w:val="52"/>
        </w:rPr>
      </w:pPr>
      <w:r>
        <w:rPr>
          <w:noProof/>
        </w:rPr>
        <w:drawing>
          <wp:inline distT="0" distB="0" distL="0" distR="0" wp14:anchorId="0D56AB7F" wp14:editId="4833631A">
            <wp:extent cx="5724525" cy="1543050"/>
            <wp:effectExtent l="0" t="0" r="0" b="0"/>
            <wp:docPr id="52857798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77986" name="Picture 5285779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D38BD" w14:textId="1C43EDB0" w:rsidR="663C56C8" w:rsidRDefault="243410BA" w:rsidP="1931C456">
      <w:pPr>
        <w:pStyle w:val="Titre1"/>
        <w:spacing w:before="0"/>
        <w:rPr>
          <w:color w:val="FF0000"/>
          <w:sz w:val="52"/>
          <w:szCs w:val="52"/>
        </w:rPr>
      </w:pPr>
      <w:r>
        <w:t xml:space="preserve">Introduction </w:t>
      </w:r>
    </w:p>
    <w:p w14:paraId="078762BE" w14:textId="5C1BBEB7" w:rsidR="663C56C8" w:rsidRDefault="663C56C8" w:rsidP="411B2B42">
      <w:pPr>
        <w:pStyle w:val="Paragraphedeliste"/>
        <w:numPr>
          <w:ilvl w:val="0"/>
          <w:numId w:val="13"/>
        </w:numPr>
      </w:pPr>
      <w:r w:rsidRPr="411B2B42">
        <w:rPr>
          <w:b/>
          <w:bCs/>
        </w:rPr>
        <w:t>Épidémiologie &amp; gravité</w:t>
      </w:r>
      <w:r>
        <w:t xml:space="preserve"> : Aux États-Unis, 900 000 adultes répondaient aux critères du trouble de l’usage de substances en 2014, et 40 % des consultations aux urgences pour mésusage de drogues impliquent la cocaïne.</w:t>
      </w:r>
    </w:p>
    <w:p w14:paraId="2F3A7D42" w14:textId="7DB06EF6" w:rsidR="663C56C8" w:rsidRDefault="663C56C8" w:rsidP="411B2B42">
      <w:pPr>
        <w:pStyle w:val="Paragraphedeliste"/>
        <w:numPr>
          <w:ilvl w:val="0"/>
          <w:numId w:val="13"/>
        </w:numPr>
      </w:pPr>
      <w:r w:rsidRPr="411B2B42">
        <w:rPr>
          <w:b/>
          <w:bCs/>
          <w:color w:val="FF0000"/>
        </w:rPr>
        <w:t xml:space="preserve">Complications </w:t>
      </w:r>
      <w:r>
        <w:t>: Effets cardiovasculaires, neurologiques, tolérance, infections, AVC, convulsions.</w:t>
      </w:r>
    </w:p>
    <w:p w14:paraId="12610AC4" w14:textId="0EA82889" w:rsidR="663C56C8" w:rsidRDefault="663C56C8" w:rsidP="411B2B42">
      <w:pPr>
        <w:pStyle w:val="Paragraphedeliste"/>
        <w:numPr>
          <w:ilvl w:val="0"/>
          <w:numId w:val="13"/>
        </w:numPr>
      </w:pPr>
      <w:r w:rsidRPr="411B2B42">
        <w:rPr>
          <w:b/>
          <w:bCs/>
        </w:rPr>
        <w:t xml:space="preserve">Traitements actuels </w:t>
      </w:r>
      <w:r>
        <w:t>: Thérapies psychosociales (TCC, gestion des contingences) mais elles sont chronophages, peu accessibles, avec faible</w:t>
      </w:r>
      <w:r w:rsidR="76FD5745">
        <w:t xml:space="preserve"> taux de</w:t>
      </w:r>
      <w:r>
        <w:t xml:space="preserve"> rétention</w:t>
      </w:r>
      <w:r w:rsidR="3DBF4AB0">
        <w:t xml:space="preserve"> en </w:t>
      </w:r>
      <w:r w:rsidR="7C6AB5A5">
        <w:t>traitement.</w:t>
      </w:r>
    </w:p>
    <w:p w14:paraId="12078344" w14:textId="47579CCB" w:rsidR="7C6AB5A5" w:rsidRDefault="7C6AB5A5" w:rsidP="411B2B42">
      <w:pPr>
        <w:pStyle w:val="Paragraphedeliste"/>
        <w:numPr>
          <w:ilvl w:val="0"/>
          <w:numId w:val="13"/>
        </w:numPr>
      </w:pPr>
      <w:r>
        <w:t>Les revues systématiques antérieures se sont principalement concentrées sur des médicaments uniques ou des classes médicamenteuses spécifiques (anticonvulsivants/carbamazépine, agonistes dopaminergiques, psychostimulants et antipsychotiques)</w:t>
      </w:r>
    </w:p>
    <w:p w14:paraId="1FDA3D9B" w14:textId="27E00BB8" w:rsidR="663C56C8" w:rsidRDefault="663C56C8" w:rsidP="411B2B42">
      <w:pPr>
        <w:pStyle w:val="Paragraphedeliste"/>
        <w:numPr>
          <w:ilvl w:val="0"/>
          <w:numId w:val="13"/>
        </w:numPr>
      </w:pPr>
      <w:r>
        <w:t>Absence de médicament approuvé par la FDA.</w:t>
      </w:r>
    </w:p>
    <w:p w14:paraId="3D715CB1" w14:textId="4254383F" w:rsidR="663C56C8" w:rsidRDefault="663C56C8" w:rsidP="411B2B42">
      <w:pPr>
        <w:pStyle w:val="Paragraphedeliste"/>
        <w:numPr>
          <w:ilvl w:val="0"/>
          <w:numId w:val="13"/>
        </w:numPr>
      </w:pPr>
      <w:r w:rsidRPr="411B2B42">
        <w:rPr>
          <w:b/>
          <w:bCs/>
        </w:rPr>
        <w:t>Problème dans la recherche</w:t>
      </w:r>
      <w:r>
        <w:t xml:space="preserve"> : Très grand nombre de classes médicamenteuses étudiées sans comparaison directe entre elles.</w:t>
      </w:r>
    </w:p>
    <w:p w14:paraId="1E2F22F7" w14:textId="7EB7CCED" w:rsidR="663C56C8" w:rsidRDefault="663C56C8" w:rsidP="411B2B42">
      <w:pPr>
        <w:pStyle w:val="Paragraphedeliste"/>
        <w:numPr>
          <w:ilvl w:val="0"/>
          <w:numId w:val="13"/>
        </w:numPr>
      </w:pPr>
      <w:r w:rsidRPr="411B2B42">
        <w:rPr>
          <w:b/>
          <w:bCs/>
        </w:rPr>
        <w:t xml:space="preserve">Objectif de la revue </w:t>
      </w:r>
      <w:r>
        <w:t>: Comparer les bénéfices et risques des différentes classes pharmacologiques pour le trouble de l’usage de la cocaïne, dans le cadre d’un rapport commandé par la Veterans Health Administration (VHA).</w:t>
      </w:r>
    </w:p>
    <w:p w14:paraId="5EB334E4" w14:textId="16F0599C" w:rsidR="7E88F006" w:rsidRDefault="7E88F006" w:rsidP="411B2B42">
      <w:pPr>
        <w:pStyle w:val="Titre1"/>
      </w:pPr>
      <w:r>
        <w:t>MÉTHODES</w:t>
      </w:r>
    </w:p>
    <w:p w14:paraId="75BD64A9" w14:textId="768545A1" w:rsidR="667CEDDF" w:rsidRDefault="667CEDDF" w:rsidP="411B2B42">
      <w:r w:rsidRPr="411B2B42">
        <w:rPr>
          <w:b/>
          <w:bCs/>
        </w:rPr>
        <w:t>Sources et sélection</w:t>
      </w:r>
      <w:r>
        <w:t xml:space="preserve"> : Recherche systématique dans MEDLINE, PsycINFO et Cochrane (jusqu'à novembre 2017), complétée par des registres d'essais cliniques et l'avis d'experts. Seuls les essais contrôlés randomisés (ECR) chez des adultes présentant un </w:t>
      </w:r>
      <w:r>
        <w:lastRenderedPageBreak/>
        <w:t>trouble de l'usage de cocaïne</w:t>
      </w:r>
      <w:r w:rsidR="5AB9C653">
        <w:t xml:space="preserve"> comparant des pharmacothérapies entre elles (face à face), à un placebo, aux soins habituels ou à une psychothérapie.</w:t>
      </w:r>
      <w:r>
        <w:t xml:space="preserve"> (</w:t>
      </w:r>
      <w:r w:rsidR="5ECA3CAC">
        <w:t>Hors</w:t>
      </w:r>
      <w:r>
        <w:t xml:space="preserve"> troubles psychotiques/bipolaires) avec dépistage urinaire hebdomadaire ont été inclus. La sélection a été réalisée en double aveugle.</w:t>
      </w:r>
    </w:p>
    <w:p w14:paraId="035BB3AB" w14:textId="0DC9999D" w:rsidR="5CB55A1A" w:rsidRDefault="5CB55A1A" w:rsidP="411B2B42">
      <w:r w:rsidRPr="411B2B42">
        <w:rPr>
          <w:b/>
          <w:bCs/>
        </w:rPr>
        <w:t>Qualité</w:t>
      </w:r>
      <w:r w:rsidR="667CEDDF" w:rsidRPr="411B2B42">
        <w:rPr>
          <w:b/>
          <w:bCs/>
        </w:rPr>
        <w:t xml:space="preserve"> </w:t>
      </w:r>
      <w:r w:rsidR="667CEDDF">
        <w:t xml:space="preserve">: </w:t>
      </w:r>
    </w:p>
    <w:p w14:paraId="7AE87C24" w14:textId="1211295F" w:rsidR="3507FDCE" w:rsidRDefault="3507FDCE" w:rsidP="411B2B42">
      <w:pPr>
        <w:rPr>
          <w:i/>
          <w:iCs/>
          <w:u w:val="single"/>
        </w:rPr>
      </w:pPr>
      <w:r w:rsidRPr="411B2B42">
        <w:rPr>
          <w:i/>
          <w:iCs/>
          <w:u w:val="single"/>
        </w:rPr>
        <w:t>Critères de jugement d'intérêt :</w:t>
      </w:r>
    </w:p>
    <w:p w14:paraId="0C5D8D6C" w14:textId="0D70C9D9" w:rsidR="3507FDCE" w:rsidRDefault="3507FDCE" w:rsidP="411B2B42">
      <w:pPr>
        <w:pStyle w:val="Paragraphedeliste"/>
        <w:numPr>
          <w:ilvl w:val="0"/>
          <w:numId w:val="12"/>
        </w:numPr>
      </w:pPr>
      <w:r>
        <w:t>Abstinence soutenue : Trois semaines consécutives ou plus de tests urinaires négatifs.</w:t>
      </w:r>
    </w:p>
    <w:p w14:paraId="53ACBE8B" w14:textId="7A9C4DEF" w:rsidR="3507FDCE" w:rsidRDefault="3507FDCE" w:rsidP="411B2B42">
      <w:pPr>
        <w:pStyle w:val="Paragraphedeliste"/>
        <w:numPr>
          <w:ilvl w:val="0"/>
          <w:numId w:val="12"/>
        </w:numPr>
      </w:pPr>
      <w:r>
        <w:t>Consommation de cocaïne.</w:t>
      </w:r>
    </w:p>
    <w:p w14:paraId="36AF9762" w14:textId="258B2078" w:rsidR="3507FDCE" w:rsidRDefault="3507FDCE" w:rsidP="411B2B42">
      <w:pPr>
        <w:pStyle w:val="Paragraphedeliste"/>
        <w:numPr>
          <w:ilvl w:val="0"/>
          <w:numId w:val="12"/>
        </w:numPr>
      </w:pPr>
      <w:r>
        <w:t>Rétention en traitement.</w:t>
      </w:r>
    </w:p>
    <w:p w14:paraId="08228C18" w14:textId="7C12010A" w:rsidR="3507FDCE" w:rsidRDefault="3507FDCE" w:rsidP="411B2B42">
      <w:pPr>
        <w:pStyle w:val="Paragraphedeliste"/>
        <w:numPr>
          <w:ilvl w:val="0"/>
          <w:numId w:val="12"/>
        </w:numPr>
      </w:pPr>
      <w:r>
        <w:t>Sécurité : Événements indésirables graves (EIG) et abandons de traitement pour cause d'événements indésirables (EI).</w:t>
      </w:r>
    </w:p>
    <w:p w14:paraId="59D200CD" w14:textId="7D4275F3" w:rsidR="3507FDCE" w:rsidRDefault="3507FDCE" w:rsidP="411B2B42">
      <w:r w:rsidRPr="411B2B42">
        <w:rPr>
          <w:i/>
          <w:iCs/>
          <w:u w:val="single"/>
        </w:rPr>
        <w:t>Critères spécifiques aux études de prévention de la rechute</w:t>
      </w:r>
      <w:r>
        <w:t xml:space="preserve"> (participants abstinents au départ) :</w:t>
      </w:r>
    </w:p>
    <w:p w14:paraId="3B605A37" w14:textId="53AF1211" w:rsidR="3507FDCE" w:rsidRDefault="3507FDCE" w:rsidP="411B2B42">
      <w:pPr>
        <w:pStyle w:val="Paragraphedeliste"/>
        <w:numPr>
          <w:ilvl w:val="0"/>
          <w:numId w:val="11"/>
        </w:numPr>
      </w:pPr>
      <w:r>
        <w:t>Rechute ponctuelle : Premier test urinaire positif ou manqué.</w:t>
      </w:r>
    </w:p>
    <w:p w14:paraId="5B03387F" w14:textId="4F9B0599" w:rsidR="3507FDCE" w:rsidRDefault="3507FDCE" w:rsidP="411B2B42">
      <w:pPr>
        <w:pStyle w:val="Paragraphedeliste"/>
        <w:numPr>
          <w:ilvl w:val="0"/>
          <w:numId w:val="11"/>
        </w:numPr>
      </w:pPr>
      <w:r>
        <w:t>Rechute confirmée : Deux tests urinaires positifs ou manqués consécutifs.</w:t>
      </w:r>
    </w:p>
    <w:p w14:paraId="1B11C9EA" w14:textId="027606C0" w:rsidR="3EE2401C" w:rsidRDefault="3EE2401C" w:rsidP="411B2B42">
      <w:pPr>
        <w:pStyle w:val="Titre1"/>
      </w:pPr>
      <w:r>
        <w:t xml:space="preserve">Résultats </w:t>
      </w:r>
    </w:p>
    <w:p w14:paraId="3FA32008" w14:textId="0C51D480" w:rsidR="3EE2401C" w:rsidRDefault="3EE2401C" w:rsidP="411B2B42">
      <w:pPr>
        <w:rPr>
          <w:b/>
          <w:bCs/>
          <w:u w:val="single"/>
        </w:rPr>
      </w:pPr>
      <w:r w:rsidRPr="411B2B42">
        <w:rPr>
          <w:b/>
          <w:bCs/>
          <w:u w:val="single"/>
        </w:rPr>
        <w:t>Contexte et données analysées</w:t>
      </w:r>
    </w:p>
    <w:p w14:paraId="4EFC6321" w14:textId="46AAA0F5" w:rsidR="3EE2401C" w:rsidRDefault="3EE2401C" w:rsidP="411B2B42">
      <w:pPr>
        <w:pStyle w:val="Paragraphedeliste"/>
        <w:numPr>
          <w:ilvl w:val="0"/>
          <w:numId w:val="10"/>
        </w:numPr>
      </w:pPr>
      <w:r w:rsidRPr="411B2B42">
        <w:rPr>
          <w:i/>
          <w:iCs/>
          <w:u w:val="single"/>
        </w:rPr>
        <w:t xml:space="preserve">Sources </w:t>
      </w:r>
      <w:r>
        <w:t>: 7 revues systématiques et 48 essais contrôlés randomisés (ECR).</w:t>
      </w:r>
    </w:p>
    <w:p w14:paraId="695E93DB" w14:textId="74186A7F" w:rsidR="3EE2401C" w:rsidRDefault="3EE2401C" w:rsidP="411B2B42">
      <w:pPr>
        <w:pStyle w:val="Paragraphedeliste"/>
        <w:numPr>
          <w:ilvl w:val="0"/>
          <w:numId w:val="10"/>
        </w:numPr>
      </w:pPr>
      <w:r w:rsidRPr="411B2B42">
        <w:rPr>
          <w:i/>
          <w:iCs/>
          <w:u w:val="single"/>
        </w:rPr>
        <w:t>Substances étudiées</w:t>
      </w:r>
      <w:r>
        <w:t xml:space="preserve"> : 66 médicaments différents, incluant antidépresseurs, antipsychotiques, anticonvulsivants et traitements approuvés pour d'autres addictions.</w:t>
      </w:r>
    </w:p>
    <w:p w14:paraId="0BC61F45" w14:textId="0C3DC834" w:rsidR="3EE2401C" w:rsidRDefault="3EE2401C" w:rsidP="411B2B42">
      <w:pPr>
        <w:rPr>
          <w:b/>
          <w:bCs/>
          <w:u w:val="single"/>
        </w:rPr>
      </w:pPr>
      <w:r w:rsidRPr="411B2B42">
        <w:rPr>
          <w:b/>
          <w:bCs/>
          <w:u w:val="single"/>
        </w:rPr>
        <w:t>Résultats par classe médicamenteuse</w:t>
      </w:r>
    </w:p>
    <w:p w14:paraId="0758D91C" w14:textId="76B4A129" w:rsidR="61008660" w:rsidRDefault="61008660" w:rsidP="411B2B42">
      <w:pPr>
        <w:rPr>
          <w:sz w:val="20"/>
          <w:szCs w:val="20"/>
        </w:rPr>
      </w:pPr>
      <w:r w:rsidRPr="411B2B42">
        <w:rPr>
          <w:sz w:val="20"/>
          <w:szCs w:val="20"/>
        </w:rPr>
        <w:t xml:space="preserve">NPP : </w:t>
      </w:r>
      <w:r w:rsidR="430880F6" w:rsidRPr="411B2B42">
        <w:rPr>
          <w:sz w:val="20"/>
          <w:szCs w:val="20"/>
        </w:rPr>
        <w:t>Niveau de preuve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419"/>
        <w:gridCol w:w="2353"/>
        <w:gridCol w:w="4238"/>
      </w:tblGrid>
      <w:tr w:rsidR="411B2B42" w14:paraId="07853702" w14:textId="77777777" w:rsidTr="1931C456">
        <w:trPr>
          <w:trHeight w:val="300"/>
        </w:trPr>
        <w:tc>
          <w:tcPr>
            <w:tcW w:w="242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9A1C099" w14:textId="68515F45" w:rsidR="411B2B42" w:rsidRDefault="411B2B42" w:rsidP="411B2B42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sz w:val="19"/>
                <w:szCs w:val="19"/>
              </w:rPr>
            </w:pPr>
            <w:r w:rsidRPr="411B2B42">
              <w:rPr>
                <w:rFonts w:ascii="Helvetica Neue" w:eastAsia="Helvetica Neue" w:hAnsi="Helvetica Neue" w:cs="Helvetica Neue"/>
                <w:b/>
                <w:bCs/>
                <w:sz w:val="19"/>
                <w:szCs w:val="19"/>
              </w:rPr>
              <w:t>Classe / Médicament</w:t>
            </w:r>
          </w:p>
        </w:tc>
        <w:tc>
          <w:tcPr>
            <w:tcW w:w="235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1BC8A1" w14:textId="65B46402" w:rsidR="411B2B42" w:rsidRDefault="411B2B42" w:rsidP="411B2B42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sz w:val="19"/>
                <w:szCs w:val="19"/>
              </w:rPr>
            </w:pPr>
            <w:r w:rsidRPr="411B2B42">
              <w:rPr>
                <w:rFonts w:ascii="Helvetica Neue" w:eastAsia="Helvetica Neue" w:hAnsi="Helvetica Neue" w:cs="Helvetica Neue"/>
                <w:b/>
                <w:bCs/>
                <w:sz w:val="19"/>
                <w:szCs w:val="19"/>
              </w:rPr>
              <w:t>Résultat principal</w:t>
            </w:r>
          </w:p>
        </w:tc>
        <w:tc>
          <w:tcPr>
            <w:tcW w:w="424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1F60678" w14:textId="0C130828" w:rsidR="39BBEDCD" w:rsidRDefault="39BBEDCD" w:rsidP="411B2B42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sz w:val="19"/>
                <w:szCs w:val="19"/>
              </w:rPr>
            </w:pPr>
            <w:r w:rsidRPr="411B2B42">
              <w:rPr>
                <w:rFonts w:ascii="Helvetica Neue" w:eastAsia="Helvetica Neue" w:hAnsi="Helvetica Neue" w:cs="Helvetica Neue"/>
                <w:b/>
                <w:bCs/>
                <w:sz w:val="19"/>
                <w:szCs w:val="19"/>
              </w:rPr>
              <w:t>NPP /</w:t>
            </w:r>
            <w:r w:rsidR="411B2B42" w:rsidRPr="411B2B42">
              <w:rPr>
                <w:rFonts w:ascii="Helvetica Neue" w:eastAsia="Helvetica Neue" w:hAnsi="Helvetica Neue" w:cs="Helvetica Neue"/>
                <w:b/>
                <w:bCs/>
                <w:sz w:val="19"/>
                <w:szCs w:val="19"/>
              </w:rPr>
              <w:t xml:space="preserve"> Efficacité</w:t>
            </w:r>
          </w:p>
        </w:tc>
      </w:tr>
      <w:tr w:rsidR="411B2B42" w14:paraId="472235DE" w14:textId="77777777" w:rsidTr="1931C456">
        <w:trPr>
          <w:trHeight w:val="300"/>
        </w:trPr>
        <w:tc>
          <w:tcPr>
            <w:tcW w:w="242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089239" w14:textId="4D6886DC" w:rsidR="411B2B42" w:rsidRDefault="411B2B42" w:rsidP="411B2B42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sz w:val="19"/>
                <w:szCs w:val="19"/>
              </w:rPr>
            </w:pPr>
            <w:r w:rsidRPr="411B2B42">
              <w:rPr>
                <w:rFonts w:ascii="Helvetica Neue" w:eastAsia="Helvetica Neue" w:hAnsi="Helvetica Neue" w:cs="Helvetica Neue"/>
                <w:b/>
                <w:bCs/>
                <w:sz w:val="19"/>
                <w:szCs w:val="19"/>
              </w:rPr>
              <w:t>Antidépresseurs (Global)</w:t>
            </w:r>
          </w:p>
        </w:tc>
        <w:tc>
          <w:tcPr>
            <w:tcW w:w="235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7999B6" w14:textId="427A4BB9" w:rsidR="411B2B42" w:rsidRDefault="411B2B42" w:rsidP="411B2B42">
            <w:pPr>
              <w:spacing w:before="195" w:after="195"/>
            </w:pP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Abstinence (P=0,06), usage et rétention</w:t>
            </w:r>
          </w:p>
        </w:tc>
        <w:tc>
          <w:tcPr>
            <w:tcW w:w="424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6476DA" w14:textId="2821E39A" w:rsidR="411B2B42" w:rsidRDefault="411B2B42" w:rsidP="411B2B42">
            <w:pPr>
              <w:spacing w:before="195" w:after="195"/>
            </w:pP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Aucune différence significative vs Placebo</w:t>
            </w:r>
          </w:p>
        </w:tc>
      </w:tr>
      <w:tr w:rsidR="411B2B42" w14:paraId="3EDF8DE5" w14:textId="77777777" w:rsidTr="1931C456">
        <w:trPr>
          <w:trHeight w:val="300"/>
        </w:trPr>
        <w:tc>
          <w:tcPr>
            <w:tcW w:w="242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C138B64" w14:textId="6E1F3EF8" w:rsidR="411B2B42" w:rsidRDefault="411B2B42" w:rsidP="411B2B42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sz w:val="19"/>
                <w:szCs w:val="19"/>
              </w:rPr>
            </w:pPr>
            <w:r w:rsidRPr="411B2B42">
              <w:rPr>
                <w:rFonts w:ascii="Helvetica Neue" w:eastAsia="Helvetica Neue" w:hAnsi="Helvetica Neue" w:cs="Helvetica Neue"/>
                <w:b/>
                <w:bCs/>
                <w:sz w:val="19"/>
                <w:szCs w:val="19"/>
              </w:rPr>
              <w:t>ISRS (Fluoxétine, Sertraline...)</w:t>
            </w:r>
          </w:p>
        </w:tc>
        <w:tc>
          <w:tcPr>
            <w:tcW w:w="235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13B89A5" w14:textId="605282EF" w:rsidR="411B2B42" w:rsidRDefault="411B2B42" w:rsidP="411B2B42">
            <w:pPr>
              <w:spacing w:before="195" w:after="195"/>
            </w:pP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Rétention</w:t>
            </w:r>
          </w:p>
        </w:tc>
        <w:tc>
          <w:tcPr>
            <w:tcW w:w="424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A9F7F7B" w14:textId="3805EFB6" w:rsidR="411B2B42" w:rsidRDefault="411B2B42" w:rsidP="411B2B42">
            <w:pPr>
              <w:spacing w:before="195" w:after="195"/>
            </w:pP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Aucune amélioration / Risque accru d'abandon pour effets indésirables</w:t>
            </w:r>
          </w:p>
        </w:tc>
      </w:tr>
      <w:tr w:rsidR="411B2B42" w14:paraId="086474F6" w14:textId="77777777" w:rsidTr="1931C456">
        <w:trPr>
          <w:trHeight w:val="300"/>
        </w:trPr>
        <w:tc>
          <w:tcPr>
            <w:tcW w:w="242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8C006A6" w14:textId="3FB01695" w:rsidR="411B2B42" w:rsidRDefault="411B2B42" w:rsidP="411B2B42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color w:val="FF0000"/>
                <w:sz w:val="19"/>
                <w:szCs w:val="19"/>
              </w:rPr>
            </w:pPr>
            <w:r w:rsidRPr="411B2B42">
              <w:rPr>
                <w:rFonts w:ascii="Helvetica Neue" w:eastAsia="Helvetica Neue" w:hAnsi="Helvetica Neue" w:cs="Helvetica Neue"/>
                <w:b/>
                <w:bCs/>
                <w:color w:val="FF0000"/>
                <w:sz w:val="19"/>
                <w:szCs w:val="19"/>
              </w:rPr>
              <w:t>Sertraline</w:t>
            </w:r>
          </w:p>
        </w:tc>
        <w:tc>
          <w:tcPr>
            <w:tcW w:w="235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A874D0A" w14:textId="2B6E50CA" w:rsidR="411B2B42" w:rsidRDefault="411B2B42" w:rsidP="411B2B42">
            <w:pPr>
              <w:spacing w:before="195" w:after="195"/>
            </w:pP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Prévention de la rechute</w:t>
            </w:r>
          </w:p>
        </w:tc>
        <w:tc>
          <w:tcPr>
            <w:tcW w:w="424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37EB18C" w14:textId="0F6F11CD" w:rsidR="411B2B42" w:rsidRDefault="404B5534" w:rsidP="411B2B42">
            <w:pPr>
              <w:spacing w:before="195" w:after="195"/>
            </w:pPr>
            <w:r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>Efficace : Réduction du risque de rechute (RR</w:t>
            </w:r>
            <w:r w:rsidR="59BA99CB"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>=</w:t>
            </w:r>
            <w:r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 xml:space="preserve"> 0,75)</w:t>
            </w:r>
            <w:r w:rsidR="2EB68025"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>, statistiquement significatif</w:t>
            </w:r>
          </w:p>
        </w:tc>
      </w:tr>
      <w:tr w:rsidR="411B2B42" w14:paraId="3AC2B5EB" w14:textId="77777777" w:rsidTr="1931C456">
        <w:trPr>
          <w:trHeight w:val="300"/>
        </w:trPr>
        <w:tc>
          <w:tcPr>
            <w:tcW w:w="242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A6B90FD" w14:textId="7D563F4D" w:rsidR="411B2B42" w:rsidRDefault="404B5534" w:rsidP="1931C456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color w:val="FF0000"/>
                <w:sz w:val="19"/>
                <w:szCs w:val="19"/>
              </w:rPr>
            </w:pPr>
            <w:r w:rsidRPr="1931C456">
              <w:rPr>
                <w:rFonts w:ascii="Helvetica Neue" w:eastAsia="Helvetica Neue" w:hAnsi="Helvetica Neue" w:cs="Helvetica Neue"/>
                <w:b/>
                <w:bCs/>
                <w:color w:val="FF0000"/>
                <w:sz w:val="19"/>
                <w:szCs w:val="19"/>
              </w:rPr>
              <w:lastRenderedPageBreak/>
              <w:t>Bupropion</w:t>
            </w:r>
          </w:p>
        </w:tc>
        <w:tc>
          <w:tcPr>
            <w:tcW w:w="235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DDD131" w14:textId="096FF221" w:rsidR="411B2B42" w:rsidRDefault="411B2B42" w:rsidP="411B2B42">
            <w:pPr>
              <w:spacing w:before="195" w:after="195"/>
            </w:pP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Abstinence</w:t>
            </w:r>
          </w:p>
        </w:tc>
        <w:tc>
          <w:tcPr>
            <w:tcW w:w="424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B11375" w14:textId="5DD7D9B5" w:rsidR="411B2B42" w:rsidRDefault="411B2B42" w:rsidP="411B2B42">
            <w:pPr>
              <w:spacing w:before="195" w:after="195"/>
            </w:pP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Efficace (Preuve faible)</w:t>
            </w:r>
          </w:p>
        </w:tc>
      </w:tr>
      <w:tr w:rsidR="411B2B42" w14:paraId="383DF84E" w14:textId="77777777" w:rsidTr="1931C456">
        <w:trPr>
          <w:trHeight w:val="300"/>
        </w:trPr>
        <w:tc>
          <w:tcPr>
            <w:tcW w:w="242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3333FD" w14:textId="2509B798" w:rsidR="411B2B42" w:rsidRDefault="411B2B42" w:rsidP="411B2B42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color w:val="FF0000"/>
                <w:sz w:val="19"/>
                <w:szCs w:val="19"/>
              </w:rPr>
            </w:pPr>
            <w:r w:rsidRPr="411B2B42">
              <w:rPr>
                <w:rFonts w:ascii="Helvetica Neue" w:eastAsia="Helvetica Neue" w:hAnsi="Helvetica Neue" w:cs="Helvetica Neue"/>
                <w:b/>
                <w:bCs/>
                <w:color w:val="FF0000"/>
                <w:sz w:val="19"/>
                <w:szCs w:val="19"/>
              </w:rPr>
              <w:t>Antipsychotiques</w:t>
            </w:r>
          </w:p>
        </w:tc>
        <w:tc>
          <w:tcPr>
            <w:tcW w:w="235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464B149" w14:textId="24446A45" w:rsidR="411B2B42" w:rsidRDefault="411B2B42" w:rsidP="411B2B42">
            <w:pPr>
              <w:spacing w:before="195" w:after="195"/>
            </w:pP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Rétention</w:t>
            </w:r>
          </w:p>
        </w:tc>
        <w:tc>
          <w:tcPr>
            <w:tcW w:w="424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061C5AA" w14:textId="402D233F" w:rsidR="411B2B42" w:rsidRDefault="404B5534" w:rsidP="411B2B42">
            <w:pPr>
              <w:spacing w:before="195" w:after="195"/>
            </w:pPr>
            <w:r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>Meilleure rétention que le placebo (Preuve modérée)</w:t>
            </w:r>
          </w:p>
        </w:tc>
      </w:tr>
      <w:tr w:rsidR="411B2B42" w14:paraId="66D32950" w14:textId="77777777" w:rsidTr="1931C456">
        <w:trPr>
          <w:trHeight w:val="300"/>
        </w:trPr>
        <w:tc>
          <w:tcPr>
            <w:tcW w:w="242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962627F" w14:textId="2BB49AA1" w:rsidR="411B2B42" w:rsidRDefault="404B5534" w:rsidP="1931C456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color w:val="FF0000"/>
                <w:sz w:val="19"/>
                <w:szCs w:val="19"/>
              </w:rPr>
            </w:pPr>
            <w:r w:rsidRPr="1931C456">
              <w:rPr>
                <w:rFonts w:ascii="Helvetica Neue" w:eastAsia="Helvetica Neue" w:hAnsi="Helvetica Neue" w:cs="Helvetica Neue"/>
                <w:b/>
                <w:bCs/>
                <w:color w:val="FF0000"/>
                <w:sz w:val="19"/>
                <w:szCs w:val="19"/>
              </w:rPr>
              <w:t>Psychostimulants</w:t>
            </w:r>
          </w:p>
        </w:tc>
        <w:tc>
          <w:tcPr>
            <w:tcW w:w="235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2600D50" w14:textId="42F7C7D2" w:rsidR="411B2B42" w:rsidRDefault="411B2B42" w:rsidP="411B2B42">
            <w:pPr>
              <w:spacing w:before="195" w:after="195"/>
            </w:pP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Abstinence</w:t>
            </w:r>
          </w:p>
        </w:tc>
        <w:tc>
          <w:tcPr>
            <w:tcW w:w="424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752BC6C" w14:textId="6BF65895" w:rsidR="411B2B42" w:rsidRDefault="404B5534" w:rsidP="1931C456">
            <w:pPr>
              <w:spacing w:before="195" w:after="195"/>
              <w:rPr>
                <w:rFonts w:ascii="Helvetica Neue" w:eastAsia="Helvetica Neue" w:hAnsi="Helvetica Neue" w:cs="Helvetica Neue"/>
                <w:sz w:val="19"/>
                <w:szCs w:val="19"/>
              </w:rPr>
            </w:pPr>
            <w:r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>Efficace (RR</w:t>
            </w:r>
            <w:r w:rsidR="62093998"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>=</w:t>
            </w:r>
            <w:r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>1,36)</w:t>
            </w:r>
            <w:r w:rsidR="411B2B42">
              <w:br/>
            </w:r>
            <w:r w:rsidR="10EBEBCB"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>preuves de faible niveau</w:t>
            </w:r>
          </w:p>
        </w:tc>
      </w:tr>
      <w:tr w:rsidR="411B2B42" w14:paraId="5527D460" w14:textId="77777777" w:rsidTr="1931C456">
        <w:trPr>
          <w:trHeight w:val="300"/>
        </w:trPr>
        <w:tc>
          <w:tcPr>
            <w:tcW w:w="242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E2174FD" w14:textId="56313694" w:rsidR="411B2B42" w:rsidRDefault="404B5534" w:rsidP="1931C456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color w:val="FF0000"/>
                <w:sz w:val="19"/>
                <w:szCs w:val="19"/>
              </w:rPr>
            </w:pPr>
            <w:r w:rsidRPr="1931C456">
              <w:rPr>
                <w:rFonts w:ascii="Helvetica Neue" w:eastAsia="Helvetica Neue" w:hAnsi="Helvetica Neue" w:cs="Helvetica Neue"/>
                <w:b/>
                <w:bCs/>
                <w:color w:val="FF0000"/>
                <w:sz w:val="19"/>
                <w:szCs w:val="19"/>
              </w:rPr>
              <w:t>Topiramate</w:t>
            </w:r>
          </w:p>
        </w:tc>
        <w:tc>
          <w:tcPr>
            <w:tcW w:w="235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7C9E135" w14:textId="75BEDD9A" w:rsidR="411B2B42" w:rsidRDefault="411B2B42" w:rsidP="411B2B42">
            <w:pPr>
              <w:spacing w:before="195" w:after="195"/>
            </w:pP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Abstinence</w:t>
            </w:r>
          </w:p>
        </w:tc>
        <w:tc>
          <w:tcPr>
            <w:tcW w:w="424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3C9C33" w14:textId="21AF269C" w:rsidR="411B2B42" w:rsidRDefault="404B5534" w:rsidP="1931C456">
            <w:pPr>
              <w:spacing w:before="195" w:after="195"/>
              <w:rPr>
                <w:rFonts w:ascii="Helvetica Neue" w:eastAsia="Helvetica Neue" w:hAnsi="Helvetica Neue" w:cs="Helvetica Neue"/>
                <w:sz w:val="19"/>
                <w:szCs w:val="19"/>
              </w:rPr>
            </w:pPr>
            <w:r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>Efficace (RR</w:t>
            </w:r>
            <w:r w:rsidR="46AA75E1"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>=</w:t>
            </w:r>
            <w:r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 xml:space="preserve">2,56) </w:t>
            </w:r>
            <w:r w:rsidR="61D6E132"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 xml:space="preserve">avec preuves de faible </w:t>
            </w:r>
            <w:r w:rsidR="4D74DAF1"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>niveau ;</w:t>
            </w:r>
            <w:r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 xml:space="preserve"> Sans effet sur la rétention</w:t>
            </w:r>
          </w:p>
        </w:tc>
      </w:tr>
      <w:tr w:rsidR="411B2B42" w14:paraId="16CEDA0E" w14:textId="77777777" w:rsidTr="1931C456">
        <w:trPr>
          <w:trHeight w:val="300"/>
        </w:trPr>
        <w:tc>
          <w:tcPr>
            <w:tcW w:w="242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70D7B2" w14:textId="7551DB9A" w:rsidR="411B2B42" w:rsidRDefault="404B5534" w:rsidP="1931C456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sz w:val="19"/>
                <w:szCs w:val="19"/>
              </w:rPr>
            </w:pPr>
            <w:r w:rsidRPr="1931C456">
              <w:rPr>
                <w:rFonts w:ascii="Helvetica Neue" w:eastAsia="Helvetica Neue" w:hAnsi="Helvetica Neue" w:cs="Helvetica Neue"/>
                <w:b/>
                <w:bCs/>
                <w:sz w:val="19"/>
                <w:szCs w:val="19"/>
              </w:rPr>
              <w:t>Disulfirame</w:t>
            </w:r>
          </w:p>
        </w:tc>
        <w:tc>
          <w:tcPr>
            <w:tcW w:w="235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D6B98A7" w14:textId="0A78545D" w:rsidR="411B2B42" w:rsidRDefault="411B2B42" w:rsidP="411B2B42">
            <w:pPr>
              <w:spacing w:before="195" w:after="195"/>
            </w:pP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Rétention</w:t>
            </w:r>
          </w:p>
        </w:tc>
        <w:tc>
          <w:tcPr>
            <w:tcW w:w="424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F509357" w14:textId="3B028514" w:rsidR="411B2B42" w:rsidRDefault="411B2B42" w:rsidP="411B2B42">
            <w:pPr>
              <w:spacing w:before="195" w:after="195"/>
            </w:pP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Effet négatif : Aggravation des taux de rétention</w:t>
            </w:r>
          </w:p>
        </w:tc>
      </w:tr>
      <w:tr w:rsidR="411B2B42" w14:paraId="71F20512" w14:textId="77777777" w:rsidTr="1931C456">
        <w:trPr>
          <w:trHeight w:val="300"/>
        </w:trPr>
        <w:tc>
          <w:tcPr>
            <w:tcW w:w="242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DED952" w14:textId="45243310" w:rsidR="411B2B42" w:rsidRDefault="411B2B42" w:rsidP="411B2B42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sz w:val="19"/>
                <w:szCs w:val="19"/>
              </w:rPr>
            </w:pPr>
            <w:r w:rsidRPr="411B2B42">
              <w:rPr>
                <w:rFonts w:ascii="Helvetica Neue" w:eastAsia="Helvetica Neue" w:hAnsi="Helvetica Neue" w:cs="Helvetica Neue"/>
                <w:b/>
                <w:bCs/>
                <w:sz w:val="19"/>
                <w:szCs w:val="19"/>
              </w:rPr>
              <w:t>Agonistes Dopaminergiques</w:t>
            </w:r>
          </w:p>
        </w:tc>
        <w:tc>
          <w:tcPr>
            <w:tcW w:w="235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640DC65" w14:textId="3ACE1E43" w:rsidR="411B2B42" w:rsidRDefault="411B2B42" w:rsidP="411B2B42">
            <w:pPr>
              <w:spacing w:before="195" w:after="195"/>
            </w:pP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Tous critères</w:t>
            </w:r>
          </w:p>
        </w:tc>
        <w:tc>
          <w:tcPr>
            <w:tcW w:w="424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DB1C9A" w14:textId="14FE690B" w:rsidR="411B2B42" w:rsidRDefault="411B2B42" w:rsidP="411B2B42">
            <w:pPr>
              <w:spacing w:before="195" w:after="195"/>
            </w:pP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Aucune différence</w:t>
            </w:r>
          </w:p>
        </w:tc>
      </w:tr>
      <w:tr w:rsidR="411B2B42" w14:paraId="31C8B539" w14:textId="77777777" w:rsidTr="1931C456">
        <w:trPr>
          <w:trHeight w:val="300"/>
        </w:trPr>
        <w:tc>
          <w:tcPr>
            <w:tcW w:w="242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DE51F83" w14:textId="39A30E5A" w:rsidR="411B2B42" w:rsidRDefault="411B2B42" w:rsidP="411B2B42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color w:val="FF0000"/>
                <w:sz w:val="19"/>
                <w:szCs w:val="19"/>
              </w:rPr>
            </w:pPr>
            <w:r w:rsidRPr="411B2B42">
              <w:rPr>
                <w:rFonts w:ascii="Helvetica Neue" w:eastAsia="Helvetica Neue" w:hAnsi="Helvetica Neue" w:cs="Helvetica Neue"/>
                <w:b/>
                <w:bCs/>
                <w:color w:val="FF0000"/>
                <w:sz w:val="19"/>
                <w:szCs w:val="19"/>
              </w:rPr>
              <w:t>Patients avec trouble opioïde comorbide</w:t>
            </w:r>
          </w:p>
        </w:tc>
        <w:tc>
          <w:tcPr>
            <w:tcW w:w="235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8F3565F" w14:textId="475E9C85" w:rsidR="411B2B42" w:rsidRDefault="411B2B42" w:rsidP="411B2B42">
            <w:pPr>
              <w:spacing w:before="195" w:after="195"/>
            </w:pP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Usage / Sevrage</w:t>
            </w:r>
          </w:p>
        </w:tc>
        <w:tc>
          <w:tcPr>
            <w:tcW w:w="424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8432F9B" w14:textId="470C10A9" w:rsidR="411B2B42" w:rsidRDefault="411B2B42" w:rsidP="411B2B42">
            <w:pPr>
              <w:spacing w:before="195" w:after="195"/>
            </w:pPr>
            <w:r w:rsidRPr="411B2B42">
              <w:rPr>
                <w:rFonts w:ascii="Helvetica Neue" w:eastAsia="Helvetica Neue" w:hAnsi="Helvetica Neue" w:cs="Helvetica Neue"/>
                <w:color w:val="FF0000"/>
                <w:sz w:val="19"/>
                <w:szCs w:val="19"/>
              </w:rPr>
              <w:t xml:space="preserve">Antidépresseurs </w:t>
            </w: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 xml:space="preserve">: </w:t>
            </w:r>
          </w:p>
          <w:p w14:paraId="2E5C8D56" w14:textId="448CC938" w:rsidR="411B2B42" w:rsidRDefault="411B2B42" w:rsidP="411B2B42">
            <w:pPr>
              <w:pStyle w:val="Paragraphedeliste"/>
              <w:numPr>
                <w:ilvl w:val="0"/>
                <w:numId w:val="9"/>
              </w:numPr>
              <w:spacing w:before="195" w:after="195"/>
              <w:rPr>
                <w:rFonts w:ascii="Helvetica Neue" w:eastAsia="Helvetica Neue" w:hAnsi="Helvetica Neue" w:cs="Helvetica Neue"/>
                <w:sz w:val="19"/>
                <w:szCs w:val="19"/>
              </w:rPr>
            </w:pP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 xml:space="preserve">Meilleure abstinence </w:t>
            </w:r>
            <w:r w:rsidR="6A7B72A5"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 xml:space="preserve">à la </w:t>
            </w: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cocaïne.</w:t>
            </w:r>
            <w:r w:rsidR="54DD4A88"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 xml:space="preserve"> </w:t>
            </w:r>
            <w:r w:rsidR="058F286D"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(</w:t>
            </w:r>
            <w:r w:rsidR="54DD4A88"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NPP faible</w:t>
            </w:r>
            <w:r w:rsidR="7D2170D8"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)</w:t>
            </w:r>
          </w:p>
          <w:p w14:paraId="70A36DF2" w14:textId="6495527F" w:rsidR="66844D5C" w:rsidRDefault="66844D5C" w:rsidP="411B2B42">
            <w:pPr>
              <w:pStyle w:val="Paragraphedeliste"/>
              <w:numPr>
                <w:ilvl w:val="0"/>
                <w:numId w:val="9"/>
              </w:numPr>
              <w:spacing w:before="195" w:after="195"/>
              <w:rPr>
                <w:rFonts w:ascii="Helvetica Neue" w:eastAsia="Helvetica Neue" w:hAnsi="Helvetica Neue" w:cs="Helvetica Neue"/>
                <w:sz w:val="19"/>
                <w:szCs w:val="19"/>
              </w:rPr>
            </w:pPr>
            <w:r w:rsidRPr="411B2B42">
              <w:rPr>
                <w:rFonts w:ascii="Helvetica Neue" w:eastAsia="Helvetica Neue" w:hAnsi="Helvetica Neue" w:cs="Helvetica Neue"/>
                <w:sz w:val="19"/>
                <w:szCs w:val="19"/>
              </w:rPr>
              <w:t>La rétention et les abandons pour cause d'EI étaient plus élevés. (NPP modéré)</w:t>
            </w:r>
          </w:p>
          <w:p w14:paraId="71E288BA" w14:textId="1E081C06" w:rsidR="411B2B42" w:rsidRDefault="404B5534" w:rsidP="1931C456">
            <w:pPr>
              <w:spacing w:before="195" w:after="195"/>
              <w:rPr>
                <w:rFonts w:ascii="Helvetica Neue" w:eastAsia="Helvetica Neue" w:hAnsi="Helvetica Neue" w:cs="Helvetica Neue"/>
                <w:sz w:val="19"/>
                <w:szCs w:val="19"/>
              </w:rPr>
            </w:pPr>
            <w:r w:rsidRPr="1931C456">
              <w:rPr>
                <w:rFonts w:ascii="Helvetica Neue" w:eastAsia="Helvetica Neue" w:hAnsi="Helvetica Neue" w:cs="Helvetica Neue"/>
                <w:color w:val="FF0000"/>
                <w:sz w:val="19"/>
                <w:szCs w:val="19"/>
              </w:rPr>
              <w:t xml:space="preserve">Psychostimulants </w:t>
            </w:r>
            <w:r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>: Réduction de l'usage</w:t>
            </w:r>
            <w:r w:rsidR="172EF6CD"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 xml:space="preserve"> de la cocaïne</w:t>
            </w:r>
            <w:r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>.</w:t>
            </w:r>
            <w:r w:rsidR="4477023E"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 xml:space="preserve"> (NPP faible)</w:t>
            </w:r>
          </w:p>
          <w:p w14:paraId="5245D9B1" w14:textId="17DBED7A" w:rsidR="411B2B42" w:rsidRDefault="404B5534" w:rsidP="411B2B42">
            <w:pPr>
              <w:spacing w:before="195" w:after="195"/>
            </w:pPr>
            <w:r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>Disulfirame : Moins bonne rétention.</w:t>
            </w:r>
            <w:r w:rsidR="6785E416" w:rsidRPr="1931C456">
              <w:rPr>
                <w:rFonts w:ascii="Helvetica Neue" w:eastAsia="Helvetica Neue" w:hAnsi="Helvetica Neue" w:cs="Helvetica Neue"/>
                <w:sz w:val="19"/>
                <w:szCs w:val="19"/>
              </w:rPr>
              <w:t xml:space="preserve"> (NPP modéré)</w:t>
            </w:r>
          </w:p>
        </w:tc>
      </w:tr>
    </w:tbl>
    <w:p w14:paraId="678A4F7A" w14:textId="0CD30688" w:rsidR="3EE2401C" w:rsidRPr="009851C9" w:rsidRDefault="6F4C14DE" w:rsidP="009851C9">
      <w:r w:rsidRPr="1931C456">
        <w:rPr>
          <w:b/>
          <w:bCs/>
        </w:rPr>
        <w:t>Autres molécules</w:t>
      </w:r>
      <w:r>
        <w:t xml:space="preserve"> (preuves insuffisantes) Les données étaient trop limitées pour conclure sur : Mémantine, Atomoxétine, Buspirone, Acamprosate, Varénicline, Naltrexone, ainsi que la plupart des anticonvulsivants et myorelaxants (sauf Topiramate).</w:t>
      </w:r>
    </w:p>
    <w:p w14:paraId="4FB45E78" w14:textId="453BF300" w:rsidR="3EE2401C" w:rsidRDefault="3EE2401C" w:rsidP="411B2B42">
      <w:pPr>
        <w:pStyle w:val="Paragraphedeliste"/>
        <w:numPr>
          <w:ilvl w:val="0"/>
          <w:numId w:val="8"/>
        </w:numPr>
      </w:pPr>
      <w:r>
        <w:t>Aucune classe entière d'antidépresseurs ne montre de supériorité globale nette.</w:t>
      </w:r>
    </w:p>
    <w:p w14:paraId="77100868" w14:textId="3A4D950F" w:rsidR="3EE2401C" w:rsidRDefault="3EE2401C" w:rsidP="411B2B42">
      <w:pPr>
        <w:pStyle w:val="Paragraphedeliste"/>
        <w:numPr>
          <w:ilvl w:val="0"/>
          <w:numId w:val="8"/>
        </w:numPr>
      </w:pPr>
      <w:r>
        <w:t>Efficacité ponctuelle suggérée pour : Bupropion, Psychostimulants, Topiramate et Sertraline (uniquement en prévention de rechute post-sevrage).</w:t>
      </w:r>
    </w:p>
    <w:p w14:paraId="6FE8EB5C" w14:textId="1226CEE8" w:rsidR="3EE2401C" w:rsidRDefault="6F4C14DE" w:rsidP="411B2B42">
      <w:pPr>
        <w:pStyle w:val="Paragraphedeliste"/>
        <w:numPr>
          <w:ilvl w:val="0"/>
          <w:numId w:val="8"/>
        </w:numPr>
      </w:pPr>
      <w:r>
        <w:t>Effets négatifs constatés pour le Disulfirame (moins bonne rétention) et un risque accru d'abandon avec les ISRS.</w:t>
      </w:r>
    </w:p>
    <w:p w14:paraId="775E8882" w14:textId="6989EFA0" w:rsidR="411B2B42" w:rsidRDefault="6B8139FD" w:rsidP="1931C456">
      <w:pPr>
        <w:pStyle w:val="Titre1"/>
      </w:pPr>
      <w:r>
        <w:t>Discussion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597"/>
        <w:gridCol w:w="6413"/>
      </w:tblGrid>
      <w:tr w:rsidR="1931C456" w14:paraId="06952D9E" w14:textId="77777777" w:rsidTr="1931C456">
        <w:trPr>
          <w:trHeight w:val="300"/>
        </w:trPr>
        <w:tc>
          <w:tcPr>
            <w:tcW w:w="259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3707B7D" w14:textId="6AA6FC9A" w:rsidR="1931C456" w:rsidRDefault="1931C456" w:rsidP="1931C456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  <w:t>Catégorie</w:t>
            </w:r>
          </w:p>
        </w:tc>
        <w:tc>
          <w:tcPr>
            <w:tcW w:w="641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5E9F89" w14:textId="2F147C74" w:rsidR="1931C456" w:rsidRDefault="1931C456" w:rsidP="1931C456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  <w:t>Détails</w:t>
            </w:r>
          </w:p>
        </w:tc>
      </w:tr>
      <w:tr w:rsidR="1931C456" w14:paraId="42270FF5" w14:textId="77777777" w:rsidTr="1931C456">
        <w:trPr>
          <w:trHeight w:val="300"/>
        </w:trPr>
        <w:tc>
          <w:tcPr>
            <w:tcW w:w="259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A4ED7C" w14:textId="0DAA99C3" w:rsidR="1931C456" w:rsidRDefault="1931C456" w:rsidP="1931C456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  <w:lastRenderedPageBreak/>
              <w:t>Constat principal</w:t>
            </w:r>
          </w:p>
        </w:tc>
        <w:tc>
          <w:tcPr>
            <w:tcW w:w="641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60D7472" w14:textId="4D2F847D" w:rsidR="1931C456" w:rsidRDefault="1931C456" w:rsidP="1931C456">
            <w:pPr>
              <w:spacing w:before="195" w:after="195"/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>Aucune preuve solide d'efficacité pour aucune classe médicamenteuse.</w:t>
            </w:r>
          </w:p>
        </w:tc>
      </w:tr>
      <w:tr w:rsidR="1931C456" w14:paraId="6C95E779" w14:textId="77777777" w:rsidTr="1931C456">
        <w:trPr>
          <w:trHeight w:val="300"/>
        </w:trPr>
        <w:tc>
          <w:tcPr>
            <w:tcW w:w="259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25B531D" w14:textId="73A119E6" w:rsidR="1931C456" w:rsidRDefault="1931C456" w:rsidP="1931C456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  <w:t>Preuves FAIBLES d’amélioration</w:t>
            </w:r>
          </w:p>
        </w:tc>
        <w:tc>
          <w:tcPr>
            <w:tcW w:w="641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30333EC" w14:textId="060495E3" w:rsidR="1931C456" w:rsidRDefault="1931C456" w:rsidP="1931C456">
            <w:pPr>
              <w:pStyle w:val="Paragraphedeliste"/>
              <w:numPr>
                <w:ilvl w:val="0"/>
                <w:numId w:val="6"/>
              </w:numPr>
              <w:spacing w:before="195" w:after="195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Abstinence </w:t>
            </w:r>
            <w:r w:rsidRPr="1931C456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: bupropion, psychostimulants, topiramate. </w:t>
            </w:r>
          </w:p>
          <w:p w14:paraId="10F3C3F7" w14:textId="7D6368B4" w:rsidR="1931C456" w:rsidRDefault="1931C456" w:rsidP="1931C456">
            <w:pPr>
              <w:pStyle w:val="Paragraphedeliste"/>
              <w:numPr>
                <w:ilvl w:val="0"/>
                <w:numId w:val="6"/>
              </w:numPr>
              <w:spacing w:before="195" w:after="195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Rechute </w:t>
            </w:r>
            <w:r w:rsidRPr="1931C456">
              <w:rPr>
                <w:rFonts w:ascii="Helvetica Neue" w:eastAsia="Helvetica Neue" w:hAnsi="Helvetica Neue" w:cs="Helvetica Neue"/>
                <w:sz w:val="20"/>
                <w:szCs w:val="20"/>
              </w:rPr>
              <w:t>: sertraline (patients déjà abstinents).</w:t>
            </w:r>
          </w:p>
        </w:tc>
      </w:tr>
      <w:tr w:rsidR="1931C456" w14:paraId="27BC02EB" w14:textId="77777777" w:rsidTr="1931C456">
        <w:trPr>
          <w:trHeight w:val="300"/>
        </w:trPr>
        <w:tc>
          <w:tcPr>
            <w:tcW w:w="259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2305C90" w14:textId="7F4DF255" w:rsidR="1931C456" w:rsidRDefault="1931C456" w:rsidP="1931C456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  <w:t>Preuves MODÉRÉES</w:t>
            </w:r>
          </w:p>
        </w:tc>
        <w:tc>
          <w:tcPr>
            <w:tcW w:w="641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783D89D" w14:textId="6784BFBB" w:rsidR="1931C456" w:rsidRDefault="1931C456" w:rsidP="1931C456">
            <w:pPr>
              <w:pStyle w:val="Paragraphedeliste"/>
              <w:numPr>
                <w:ilvl w:val="0"/>
                <w:numId w:val="5"/>
              </w:numPr>
              <w:spacing w:before="195" w:after="195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Rétention améliorée </w:t>
            </w:r>
            <w:r w:rsidRPr="1931C456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: antipsychotiques. </w:t>
            </w:r>
          </w:p>
          <w:p w14:paraId="15DC5CF5" w14:textId="26471C1C" w:rsidR="1931C456" w:rsidRDefault="1931C456" w:rsidP="1931C456">
            <w:pPr>
              <w:pStyle w:val="Paragraphedeliste"/>
              <w:numPr>
                <w:ilvl w:val="0"/>
                <w:numId w:val="5"/>
              </w:numPr>
              <w:spacing w:before="195" w:after="195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>Rétention aggravée</w:t>
            </w:r>
            <w:r w:rsidRPr="1931C456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: disulfirame.</w:t>
            </w:r>
          </w:p>
        </w:tc>
      </w:tr>
      <w:tr w:rsidR="1931C456" w14:paraId="78954780" w14:textId="77777777" w:rsidTr="1931C456">
        <w:trPr>
          <w:trHeight w:val="300"/>
        </w:trPr>
        <w:tc>
          <w:tcPr>
            <w:tcW w:w="259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278138" w14:textId="0AB74F57" w:rsidR="1931C456" w:rsidRDefault="1931C456" w:rsidP="1931C456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  <w:t>Autres résultats</w:t>
            </w:r>
          </w:p>
        </w:tc>
        <w:tc>
          <w:tcPr>
            <w:tcW w:w="641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F9648A9" w14:textId="1727A310" w:rsidR="1D150B44" w:rsidRDefault="1D150B44" w:rsidP="1931C456">
            <w:pPr>
              <w:pStyle w:val="Paragraphedeliste"/>
              <w:numPr>
                <w:ilvl w:val="0"/>
                <w:numId w:val="4"/>
              </w:numPr>
              <w:spacing w:before="195" w:after="195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>I</w:t>
            </w:r>
            <w:r w:rsidR="1931C456" w:rsidRPr="1931C456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SRS </w:t>
            </w:r>
            <w:r w:rsidR="1931C456" w:rsidRPr="1931C456">
              <w:rPr>
                <w:rFonts w:ascii="Helvetica Neue" w:eastAsia="Helvetica Neue" w:hAnsi="Helvetica Neue" w:cs="Helvetica Neue"/>
                <w:sz w:val="20"/>
                <w:szCs w:val="20"/>
              </w:rPr>
              <w:t>: associés à plus d’abandons pour effets indésirables (preuve faible).</w:t>
            </w:r>
          </w:p>
        </w:tc>
      </w:tr>
      <w:tr w:rsidR="1931C456" w14:paraId="6C608898" w14:textId="77777777" w:rsidTr="1931C456">
        <w:trPr>
          <w:trHeight w:val="300"/>
        </w:trPr>
        <w:tc>
          <w:tcPr>
            <w:tcW w:w="259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3EF516E" w14:textId="43FE5F24" w:rsidR="1931C456" w:rsidRDefault="1931C456" w:rsidP="1931C456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  <w:t>Pistes prometteuses</w:t>
            </w:r>
          </w:p>
        </w:tc>
        <w:tc>
          <w:tcPr>
            <w:tcW w:w="641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371D589" w14:textId="41272CEF" w:rsidR="1931C456" w:rsidRDefault="1931C456" w:rsidP="1931C456">
            <w:pPr>
              <w:pStyle w:val="Paragraphedeliste"/>
              <w:numPr>
                <w:ilvl w:val="0"/>
                <w:numId w:val="3"/>
              </w:numPr>
              <w:spacing w:before="195" w:after="195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Bupropion </w:t>
            </w:r>
            <w:r w:rsidRPr="1931C456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: patients avec dépression comorbide ou avec gestion des contingences (GC). </w:t>
            </w:r>
          </w:p>
          <w:p w14:paraId="2977BA1D" w14:textId="716FD629" w:rsidR="1931C456" w:rsidRDefault="1931C456" w:rsidP="1931C456">
            <w:pPr>
              <w:pStyle w:val="Paragraphedeliste"/>
              <w:numPr>
                <w:ilvl w:val="0"/>
                <w:numId w:val="3"/>
              </w:numPr>
              <w:spacing w:before="195" w:after="195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>Trouble opioïde comorbide</w:t>
            </w:r>
            <w:r w:rsidRPr="1931C456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: antidépresseurs et psychostimulants (preuve faible). </w:t>
            </w:r>
          </w:p>
          <w:p w14:paraId="33ACE70C" w14:textId="3847D2D3" w:rsidR="1931C456" w:rsidRDefault="1931C456" w:rsidP="1931C456">
            <w:pPr>
              <w:pStyle w:val="Paragraphedeliste"/>
              <w:numPr>
                <w:ilvl w:val="0"/>
                <w:numId w:val="3"/>
              </w:numPr>
              <w:spacing w:before="195" w:after="195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Mécanismes </w:t>
            </w:r>
            <w:r w:rsidRPr="1931C456">
              <w:rPr>
                <w:rFonts w:ascii="Helvetica Neue" w:eastAsia="Helvetica Neue" w:hAnsi="Helvetica Neue" w:cs="Helvetica Neue"/>
                <w:sz w:val="20"/>
                <w:szCs w:val="20"/>
              </w:rPr>
              <w:t>: psychostimulants (remplacement agoniste), topiramate (voies GABAergiques).</w:t>
            </w:r>
          </w:p>
        </w:tc>
      </w:tr>
      <w:tr w:rsidR="1931C456" w14:paraId="348AF4A4" w14:textId="77777777" w:rsidTr="1931C456">
        <w:trPr>
          <w:trHeight w:val="300"/>
        </w:trPr>
        <w:tc>
          <w:tcPr>
            <w:tcW w:w="259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61462A9" w14:textId="62A28EDF" w:rsidR="1931C456" w:rsidRDefault="1931C456" w:rsidP="1931C456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  <w:t>Rôle des interventions psychosociales</w:t>
            </w:r>
          </w:p>
        </w:tc>
        <w:tc>
          <w:tcPr>
            <w:tcW w:w="641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182480" w14:textId="3E1539F4" w:rsidR="1931C456" w:rsidRDefault="1931C456" w:rsidP="1931C456">
            <w:pPr>
              <w:pStyle w:val="Paragraphedeliste"/>
              <w:numPr>
                <w:ilvl w:val="0"/>
                <w:numId w:val="2"/>
              </w:numPr>
              <w:spacing w:before="195" w:after="195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GC </w:t>
            </w:r>
            <w:r w:rsidRPr="1931C456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et </w:t>
            </w:r>
            <w:r w:rsidRPr="1931C456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TCC </w:t>
            </w:r>
            <w:r w:rsidRPr="1931C456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restent des piliers du traitement. </w:t>
            </w:r>
          </w:p>
          <w:p w14:paraId="79B02659" w14:textId="7FD8DC4F" w:rsidR="1931C456" w:rsidRDefault="1931C456" w:rsidP="1931C456">
            <w:pPr>
              <w:pStyle w:val="Paragraphedeliste"/>
              <w:numPr>
                <w:ilvl w:val="0"/>
                <w:numId w:val="2"/>
              </w:numPr>
              <w:spacing w:before="195" w:after="195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sz w:val="20"/>
                <w:szCs w:val="20"/>
              </w:rPr>
              <w:t>L'association pharmacothérapie + GC est à approfondir (pas de supériorité nette prouvée à ce jour).</w:t>
            </w:r>
          </w:p>
        </w:tc>
      </w:tr>
      <w:tr w:rsidR="1931C456" w14:paraId="13A56FD8" w14:textId="77777777" w:rsidTr="1931C456">
        <w:trPr>
          <w:trHeight w:val="300"/>
        </w:trPr>
        <w:tc>
          <w:tcPr>
            <w:tcW w:w="259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783516" w14:textId="37FB6597" w:rsidR="1931C456" w:rsidRDefault="1931C456" w:rsidP="1931C456">
            <w:pPr>
              <w:spacing w:before="195" w:after="195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  <w:t>Limites méthodologiques</w:t>
            </w:r>
          </w:p>
        </w:tc>
        <w:tc>
          <w:tcPr>
            <w:tcW w:w="6417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5EC504C" w14:textId="4A7E687B" w:rsidR="1931C456" w:rsidRDefault="1931C456" w:rsidP="1931C456">
            <w:pPr>
              <w:pStyle w:val="Paragraphedeliste"/>
              <w:numPr>
                <w:ilvl w:val="0"/>
                <w:numId w:val="1"/>
              </w:numPr>
              <w:spacing w:before="195" w:after="195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Mesures hétérogènes </w:t>
            </w:r>
            <w:r w:rsidRPr="1931C456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: complique les méta-analyses. </w:t>
            </w:r>
          </w:p>
          <w:p w14:paraId="1F64D2CF" w14:textId="603A3806" w:rsidR="1931C456" w:rsidRDefault="1931C456" w:rsidP="1931C456">
            <w:pPr>
              <w:pStyle w:val="Paragraphedeliste"/>
              <w:numPr>
                <w:ilvl w:val="0"/>
                <w:numId w:val="1"/>
              </w:numPr>
              <w:spacing w:before="195" w:after="195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Abstinence </w:t>
            </w:r>
            <w:r w:rsidRPr="1931C456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: définition ≥ 3 semaines exclut certaines études, ne capture pas le long terme. </w:t>
            </w:r>
          </w:p>
          <w:p w14:paraId="193E354D" w14:textId="305B2879" w:rsidR="1931C456" w:rsidRDefault="1931C456" w:rsidP="1931C456">
            <w:pPr>
              <w:pStyle w:val="Paragraphedeliste"/>
              <w:numPr>
                <w:ilvl w:val="0"/>
                <w:numId w:val="1"/>
              </w:numPr>
              <w:spacing w:before="195" w:after="195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Rétention </w:t>
            </w:r>
            <w:r w:rsidRPr="1931C456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: attrition &gt; 20 % dans ⅓ des essais, puissance statistique possiblement insuffisante. </w:t>
            </w:r>
          </w:p>
          <w:p w14:paraId="33E067FD" w14:textId="5A29655B" w:rsidR="1931C456" w:rsidRDefault="1931C456" w:rsidP="1931C456">
            <w:pPr>
              <w:pStyle w:val="Paragraphedeliste"/>
              <w:numPr>
                <w:ilvl w:val="0"/>
                <w:numId w:val="1"/>
              </w:numPr>
              <w:spacing w:before="195" w:after="195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1931C456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Langue </w:t>
            </w:r>
            <w:r w:rsidRPr="1931C456">
              <w:rPr>
                <w:rFonts w:ascii="Helvetica Neue" w:eastAsia="Helvetica Neue" w:hAnsi="Helvetica Neue" w:cs="Helvetica Neue"/>
                <w:sz w:val="20"/>
                <w:szCs w:val="20"/>
              </w:rPr>
              <w:t>: restriction aux études anglaises (impact probablement mineur).</w:t>
            </w:r>
          </w:p>
        </w:tc>
      </w:tr>
    </w:tbl>
    <w:p w14:paraId="30C97CEB" w14:textId="420B495A" w:rsidR="411B2B42" w:rsidRDefault="5D5F0208" w:rsidP="1931C456">
      <w:pPr>
        <w:pStyle w:val="Titre1"/>
        <w:spacing w:before="0"/>
      </w:pPr>
      <w:r>
        <w:t>CONCLUSIONS</w:t>
      </w:r>
    </w:p>
    <w:p w14:paraId="50836A27" w14:textId="70AE7866" w:rsidR="411B2B42" w:rsidRDefault="5D5F0208" w:rsidP="411B2B42">
      <w:r>
        <w:t xml:space="preserve">Nous n'avons trouvé </w:t>
      </w:r>
      <w:r w:rsidRPr="1931C456">
        <w:rPr>
          <w:color w:val="FF0000"/>
        </w:rPr>
        <w:t>aucune donnée probante solide ou constante</w:t>
      </w:r>
      <w:r>
        <w:t xml:space="preserve"> indiquant qu'une classe de médicaments était efficace pour augmenter l'abstinence, réduire la consommation ou améliorer la rétention en traitement chez les personnes présentant un trouble de l'usage de cocaïne. </w:t>
      </w:r>
    </w:p>
    <w:p w14:paraId="7B305494" w14:textId="18963C8E" w:rsidR="411B2B42" w:rsidRDefault="5D5F0208" w:rsidP="411B2B42">
      <w:r>
        <w:t xml:space="preserve">Plusieurs </w:t>
      </w:r>
      <w:r w:rsidRPr="1931C456">
        <w:rPr>
          <w:color w:val="FF0000"/>
        </w:rPr>
        <w:t>classes prometteuses</w:t>
      </w:r>
      <w:r>
        <w:t xml:space="preserve"> méritent des recherches plus approfondies, notamment les </w:t>
      </w:r>
      <w:r w:rsidRPr="1931C456">
        <w:rPr>
          <w:color w:val="FF0000"/>
        </w:rPr>
        <w:t>psychostimulants</w:t>
      </w:r>
      <w:r>
        <w:t xml:space="preserve">, le </w:t>
      </w:r>
      <w:r w:rsidRPr="1931C456">
        <w:rPr>
          <w:color w:val="FF0000"/>
        </w:rPr>
        <w:t>bupropion</w:t>
      </w:r>
      <w:r>
        <w:t xml:space="preserve">, le </w:t>
      </w:r>
      <w:r w:rsidRPr="1931C456">
        <w:rPr>
          <w:color w:val="FF0000"/>
        </w:rPr>
        <w:t xml:space="preserve">topiramate </w:t>
      </w:r>
      <w:r>
        <w:t>et le traitement des patients présentant un trouble comorbide de l'usage d'opioïdes.</w:t>
      </w:r>
    </w:p>
    <w:p w14:paraId="748FCF2B" w14:textId="30CBC52A" w:rsidR="411B2B42" w:rsidRDefault="18D1E5A6" w:rsidP="1931C456">
      <w:pPr>
        <w:jc w:val="right"/>
        <w:rPr>
          <w:color w:val="00B050"/>
          <w:sz w:val="22"/>
          <w:szCs w:val="22"/>
        </w:rPr>
      </w:pPr>
      <w:r w:rsidRPr="1931C456">
        <w:rPr>
          <w:color w:val="00B050"/>
        </w:rPr>
        <w:t xml:space="preserve">Dr Issam Outaik </w:t>
      </w:r>
    </w:p>
    <w:p w14:paraId="5CFB46A5" w14:textId="2310B6AE" w:rsidR="411B2B42" w:rsidRDefault="18D1E5A6" w:rsidP="1931C456">
      <w:pPr>
        <w:jc w:val="right"/>
        <w:rPr>
          <w:color w:val="00B050"/>
          <w:sz w:val="22"/>
          <w:szCs w:val="22"/>
        </w:rPr>
      </w:pPr>
      <w:r w:rsidRPr="1931C456">
        <w:rPr>
          <w:color w:val="00B050"/>
        </w:rPr>
        <w:t>Centre psychiatrique universitaire Agadir</w:t>
      </w:r>
    </w:p>
    <w:p w14:paraId="33724049" w14:textId="77265D58" w:rsidR="411B2B42" w:rsidRDefault="18D1E5A6" w:rsidP="1931C456">
      <w:pPr>
        <w:jc w:val="right"/>
        <w:rPr>
          <w:color w:val="00B050"/>
          <w:sz w:val="22"/>
          <w:szCs w:val="22"/>
        </w:rPr>
      </w:pPr>
      <w:r w:rsidRPr="1931C456">
        <w:rPr>
          <w:color w:val="00B050"/>
        </w:rPr>
        <w:lastRenderedPageBreak/>
        <w:t>Avril 2026</w:t>
      </w:r>
    </w:p>
    <w:sectPr w:rsidR="411B2B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0s08W9FHgDyaN" int2:id="6z08SKLn">
      <int2:state int2:value="Rejected" int2:type="spell"/>
    </int2:textHash>
    <int2:textHash int2:hashCode="rYCmosqVfMPlBO" int2:id="83dVhAb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7494"/>
    <w:multiLevelType w:val="hybridMultilevel"/>
    <w:tmpl w:val="CA4A2AB8"/>
    <w:lvl w:ilvl="0" w:tplc="4232C5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22D1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C8237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6E51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FC75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7261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3661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2A1C4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FB8FD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65CE4"/>
    <w:multiLevelType w:val="hybridMultilevel"/>
    <w:tmpl w:val="C9FA1828"/>
    <w:lvl w:ilvl="0" w:tplc="33E07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C2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A61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6C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A5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29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02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C0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89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F703"/>
    <w:multiLevelType w:val="hybridMultilevel"/>
    <w:tmpl w:val="CED099EA"/>
    <w:lvl w:ilvl="0" w:tplc="467A1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8E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27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6D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EA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CF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A6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A7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2D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A19CB"/>
    <w:multiLevelType w:val="hybridMultilevel"/>
    <w:tmpl w:val="46CA3084"/>
    <w:lvl w:ilvl="0" w:tplc="91A02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4E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A9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64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8B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88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67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24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EC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AE0C1"/>
    <w:multiLevelType w:val="hybridMultilevel"/>
    <w:tmpl w:val="6F7ECE98"/>
    <w:lvl w:ilvl="0" w:tplc="2B68C3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16E8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79CB3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F2FB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3846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3EF7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045E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B6C4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86B3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249A8B"/>
    <w:multiLevelType w:val="hybridMultilevel"/>
    <w:tmpl w:val="0A060708"/>
    <w:lvl w:ilvl="0" w:tplc="21FAE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8DF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0EC6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021D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434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2B0D3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F040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6618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64E2F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9E69D0"/>
    <w:multiLevelType w:val="hybridMultilevel"/>
    <w:tmpl w:val="5AE0A3E2"/>
    <w:lvl w:ilvl="0" w:tplc="C2E42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00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89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BA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61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2B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E7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6E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E5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B81B5"/>
    <w:multiLevelType w:val="hybridMultilevel"/>
    <w:tmpl w:val="6CCA0218"/>
    <w:lvl w:ilvl="0" w:tplc="B72C91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EF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F003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4E8B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1CE7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500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66B5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28ED4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31A6A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65E577"/>
    <w:multiLevelType w:val="hybridMultilevel"/>
    <w:tmpl w:val="358C932A"/>
    <w:lvl w:ilvl="0" w:tplc="39FE12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C028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15E0D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EC8D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665E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8AA7F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90B5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02B9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0EAA9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48958F"/>
    <w:multiLevelType w:val="hybridMultilevel"/>
    <w:tmpl w:val="02BEB470"/>
    <w:lvl w:ilvl="0" w:tplc="AC00E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AC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7E9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41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05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21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A8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EE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6A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28874"/>
    <w:multiLevelType w:val="hybridMultilevel"/>
    <w:tmpl w:val="1B481CB6"/>
    <w:lvl w:ilvl="0" w:tplc="F80454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9C45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1FACA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0E8F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142A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BC473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E0C1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7866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3FE1F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C4FC2C"/>
    <w:multiLevelType w:val="hybridMultilevel"/>
    <w:tmpl w:val="34A02F6A"/>
    <w:lvl w:ilvl="0" w:tplc="7F881B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FC35B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BD230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1478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D8DCF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824E1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E642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5E7C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2E2CF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D9A27A"/>
    <w:multiLevelType w:val="hybridMultilevel"/>
    <w:tmpl w:val="1F50BF2A"/>
    <w:lvl w:ilvl="0" w:tplc="4FAC0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2F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80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E1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07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40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AE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C8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4D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246160">
    <w:abstractNumId w:val="10"/>
  </w:num>
  <w:num w:numId="2" w16cid:durableId="919799095">
    <w:abstractNumId w:val="4"/>
  </w:num>
  <w:num w:numId="3" w16cid:durableId="1456094937">
    <w:abstractNumId w:val="8"/>
  </w:num>
  <w:num w:numId="4" w16cid:durableId="138883434">
    <w:abstractNumId w:val="5"/>
  </w:num>
  <w:num w:numId="5" w16cid:durableId="790780190">
    <w:abstractNumId w:val="7"/>
  </w:num>
  <w:num w:numId="6" w16cid:durableId="1623800339">
    <w:abstractNumId w:val="11"/>
  </w:num>
  <w:num w:numId="7" w16cid:durableId="537353679">
    <w:abstractNumId w:val="0"/>
  </w:num>
  <w:num w:numId="8" w16cid:durableId="511652659">
    <w:abstractNumId w:val="12"/>
  </w:num>
  <w:num w:numId="9" w16cid:durableId="1392843795">
    <w:abstractNumId w:val="9"/>
  </w:num>
  <w:num w:numId="10" w16cid:durableId="763650824">
    <w:abstractNumId w:val="2"/>
  </w:num>
  <w:num w:numId="11" w16cid:durableId="1558932756">
    <w:abstractNumId w:val="1"/>
  </w:num>
  <w:num w:numId="12" w16cid:durableId="420371900">
    <w:abstractNumId w:val="6"/>
  </w:num>
  <w:num w:numId="13" w16cid:durableId="1378234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CB8B6E"/>
    <w:rsid w:val="00101D76"/>
    <w:rsid w:val="00900023"/>
    <w:rsid w:val="009851C9"/>
    <w:rsid w:val="0370B0CB"/>
    <w:rsid w:val="04C87F98"/>
    <w:rsid w:val="058F286D"/>
    <w:rsid w:val="061B0247"/>
    <w:rsid w:val="06A25EAB"/>
    <w:rsid w:val="09138B72"/>
    <w:rsid w:val="0AE730FF"/>
    <w:rsid w:val="0C7319F0"/>
    <w:rsid w:val="10EBEBCB"/>
    <w:rsid w:val="12339651"/>
    <w:rsid w:val="140544F0"/>
    <w:rsid w:val="1414A7E1"/>
    <w:rsid w:val="162B4319"/>
    <w:rsid w:val="1634DF87"/>
    <w:rsid w:val="167FD2E4"/>
    <w:rsid w:val="172EF6CD"/>
    <w:rsid w:val="1834D095"/>
    <w:rsid w:val="18927B6E"/>
    <w:rsid w:val="18D1E5A6"/>
    <w:rsid w:val="1931C456"/>
    <w:rsid w:val="1988299D"/>
    <w:rsid w:val="1AE66551"/>
    <w:rsid w:val="1BF7DADB"/>
    <w:rsid w:val="1D150B44"/>
    <w:rsid w:val="1D55CE7F"/>
    <w:rsid w:val="1EAB74FC"/>
    <w:rsid w:val="1EE38499"/>
    <w:rsid w:val="1F142E36"/>
    <w:rsid w:val="2409460C"/>
    <w:rsid w:val="243410BA"/>
    <w:rsid w:val="24C9A7B1"/>
    <w:rsid w:val="28441713"/>
    <w:rsid w:val="284E3775"/>
    <w:rsid w:val="298B0CE7"/>
    <w:rsid w:val="2B8E6173"/>
    <w:rsid w:val="2D55FBC8"/>
    <w:rsid w:val="2EB68025"/>
    <w:rsid w:val="3109CAA9"/>
    <w:rsid w:val="31F7CBBA"/>
    <w:rsid w:val="34ABAD45"/>
    <w:rsid w:val="3507FDCE"/>
    <w:rsid w:val="35EAA190"/>
    <w:rsid w:val="360B66EC"/>
    <w:rsid w:val="36CB8B6E"/>
    <w:rsid w:val="3873F6E6"/>
    <w:rsid w:val="39BBEDCD"/>
    <w:rsid w:val="3C9D70BB"/>
    <w:rsid w:val="3DBF4AB0"/>
    <w:rsid w:val="3E5D1702"/>
    <w:rsid w:val="3EE2401C"/>
    <w:rsid w:val="3F9D4D50"/>
    <w:rsid w:val="3FA583A1"/>
    <w:rsid w:val="404B5534"/>
    <w:rsid w:val="40EF379E"/>
    <w:rsid w:val="411B2B42"/>
    <w:rsid w:val="41245CCF"/>
    <w:rsid w:val="423D4F58"/>
    <w:rsid w:val="430880F6"/>
    <w:rsid w:val="4372C0BE"/>
    <w:rsid w:val="4477023E"/>
    <w:rsid w:val="45D3EA05"/>
    <w:rsid w:val="46AA75E1"/>
    <w:rsid w:val="479D10DF"/>
    <w:rsid w:val="4CC84290"/>
    <w:rsid w:val="4D74DAF1"/>
    <w:rsid w:val="4E69B7CA"/>
    <w:rsid w:val="4F7FADF1"/>
    <w:rsid w:val="5290497D"/>
    <w:rsid w:val="54DD4A88"/>
    <w:rsid w:val="557F5213"/>
    <w:rsid w:val="5693AFD9"/>
    <w:rsid w:val="569A4A7F"/>
    <w:rsid w:val="59BA99CB"/>
    <w:rsid w:val="5AAB045B"/>
    <w:rsid w:val="5AB9C653"/>
    <w:rsid w:val="5B2E92BF"/>
    <w:rsid w:val="5CB55A1A"/>
    <w:rsid w:val="5D5F0208"/>
    <w:rsid w:val="5E4C7E35"/>
    <w:rsid w:val="5ECA3CAC"/>
    <w:rsid w:val="61008660"/>
    <w:rsid w:val="61D6E132"/>
    <w:rsid w:val="62093998"/>
    <w:rsid w:val="624E9613"/>
    <w:rsid w:val="645ACF38"/>
    <w:rsid w:val="64791D6E"/>
    <w:rsid w:val="663C56C8"/>
    <w:rsid w:val="667CEDDF"/>
    <w:rsid w:val="66844D5C"/>
    <w:rsid w:val="669DBAD2"/>
    <w:rsid w:val="6785E416"/>
    <w:rsid w:val="68389954"/>
    <w:rsid w:val="6A7B72A5"/>
    <w:rsid w:val="6AD2F006"/>
    <w:rsid w:val="6B8139FD"/>
    <w:rsid w:val="6C5DCCDA"/>
    <w:rsid w:val="6CF40E0C"/>
    <w:rsid w:val="6D13EAAE"/>
    <w:rsid w:val="6D2011C3"/>
    <w:rsid w:val="6DA9CA55"/>
    <w:rsid w:val="6F4C14DE"/>
    <w:rsid w:val="716C0484"/>
    <w:rsid w:val="72BB58C0"/>
    <w:rsid w:val="72E6B1A6"/>
    <w:rsid w:val="744FCD5B"/>
    <w:rsid w:val="75361C5D"/>
    <w:rsid w:val="7590A5DE"/>
    <w:rsid w:val="76FD5745"/>
    <w:rsid w:val="79533C70"/>
    <w:rsid w:val="79A14CDE"/>
    <w:rsid w:val="7ACEFDEC"/>
    <w:rsid w:val="7B380AA8"/>
    <w:rsid w:val="7B818F25"/>
    <w:rsid w:val="7C6AB5A5"/>
    <w:rsid w:val="7D2170D8"/>
    <w:rsid w:val="7E88F006"/>
    <w:rsid w:val="7E9FCB24"/>
    <w:rsid w:val="7EEE491B"/>
    <w:rsid w:val="7FE8B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8B6E"/>
  <w15:chartTrackingRefBased/>
  <w15:docId w15:val="{05B3CBB9-16CB-4C8A-9AF4-0CB4C628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411B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rsid w:val="411B2B4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aragraphedeliste">
    <w:name w:val="List Paragraph"/>
    <w:basedOn w:val="Normal"/>
    <w:uiPriority w:val="34"/>
    <w:qFormat/>
    <w:rsid w:val="411B2B42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952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 Outaik</dc:creator>
  <cp:keywords/>
  <dc:description/>
  <cp:lastModifiedBy>khadija Akebour</cp:lastModifiedBy>
  <cp:revision>2</cp:revision>
  <dcterms:created xsi:type="dcterms:W3CDTF">2026-04-21T06:40:00Z</dcterms:created>
  <dcterms:modified xsi:type="dcterms:W3CDTF">2026-04-27T19:58:00Z</dcterms:modified>
</cp:coreProperties>
</file>