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6CD1F" w14:textId="239BC8F9" w:rsidR="00F2329D" w:rsidRPr="00F2329D" w:rsidRDefault="00F2329D" w:rsidP="00F2329D">
      <w:pPr>
        <w:rPr>
          <w:rFonts w:ascii="Segoe UI Semibold" w:hAnsi="Segoe UI Semibold" w:cs="Segoe UI Semibold"/>
          <w:sz w:val="24"/>
          <w:szCs w:val="24"/>
        </w:rPr>
      </w:pPr>
      <w:r w:rsidRPr="00F2329D">
        <w:rPr>
          <w:rFonts w:ascii="Segoe UI Semibold" w:hAnsi="Segoe UI Semibold" w:cs="Segoe UI Semibold"/>
          <w:sz w:val="24"/>
          <w:szCs w:val="24"/>
        </w:rPr>
        <w:t xml:space="preserve">Association </w:t>
      </w:r>
      <w:r w:rsidR="001F4160" w:rsidRPr="00D20507">
        <w:rPr>
          <w:rFonts w:ascii="Segoe UI Semibold" w:hAnsi="Segoe UI Semibold" w:cs="Segoe UI Semibold"/>
          <w:sz w:val="24"/>
          <w:szCs w:val="24"/>
        </w:rPr>
        <w:t xml:space="preserve">Entre L’utilisation Des Agonistes Des Récepteurs Du </w:t>
      </w:r>
      <w:r w:rsidRPr="00F2329D">
        <w:rPr>
          <w:rFonts w:ascii="Segoe UI Semibold" w:hAnsi="Segoe UI Semibold" w:cs="Segoe UI Semibold"/>
          <w:sz w:val="24"/>
          <w:szCs w:val="24"/>
        </w:rPr>
        <w:t>GLP</w:t>
      </w:r>
      <w:r w:rsidR="001F4160" w:rsidRPr="00D20507">
        <w:rPr>
          <w:rFonts w:ascii="Segoe UI Semibold" w:hAnsi="Segoe UI Semibold" w:cs="Segoe UI Semibold"/>
          <w:sz w:val="24"/>
          <w:szCs w:val="24"/>
        </w:rPr>
        <w:t xml:space="preserve">-1 Et L’aggravation Des Troubles Mentaux Chez Les Patients Présentant Une Dépression Ou Une Anxiété En </w:t>
      </w:r>
      <w:r w:rsidRPr="00F2329D">
        <w:rPr>
          <w:rFonts w:ascii="Segoe UI Semibold" w:hAnsi="Segoe UI Semibold" w:cs="Segoe UI Semibold"/>
          <w:sz w:val="24"/>
          <w:szCs w:val="24"/>
        </w:rPr>
        <w:t xml:space="preserve">Suède </w:t>
      </w:r>
      <w:r w:rsidR="001F4160" w:rsidRPr="00D20507">
        <w:rPr>
          <w:rFonts w:ascii="Segoe UI Semibold" w:hAnsi="Segoe UI Semibold" w:cs="Segoe UI Semibold"/>
          <w:sz w:val="24"/>
          <w:szCs w:val="24"/>
        </w:rPr>
        <w:t>: Etude De Cohorte Nationale</w:t>
      </w:r>
    </w:p>
    <w:p w14:paraId="2DEA5960" w14:textId="7667FC38" w:rsidR="00F2329D" w:rsidRDefault="00F2329D" w:rsidP="001F4160">
      <w:pPr>
        <w:spacing w:after="120"/>
        <w:rPr>
          <w:rFonts w:ascii="Segoe UI Semilight" w:hAnsi="Segoe UI Semilight" w:cs="Segoe UI Semilight"/>
          <w:i/>
          <w:iCs/>
          <w:sz w:val="20"/>
          <w:szCs w:val="20"/>
        </w:rPr>
      </w:pPr>
      <w:r w:rsidRPr="001F4160">
        <w:rPr>
          <w:rFonts w:ascii="Segoe UI Semilight" w:hAnsi="Segoe UI Semilight" w:cs="Segoe UI Semilight"/>
          <w:b/>
          <w:bCs/>
        </w:rPr>
        <w:t xml:space="preserve"> </w:t>
      </w:r>
      <w:r w:rsidRPr="001F4160">
        <w:rPr>
          <w:rFonts w:ascii="Segoe UI Semilight" w:hAnsi="Segoe UI Semilight" w:cs="Segoe UI Semilight"/>
          <w:i/>
          <w:iCs/>
          <w:sz w:val="20"/>
          <w:szCs w:val="20"/>
        </w:rPr>
        <w:t>Heidi Taipale, Mark Taylor, Markku Lähteenvuo, Ellenor Mittendorfer-Rutz, Antti Tanskanen, Jari Tiihonen</w:t>
      </w:r>
    </w:p>
    <w:p w14:paraId="4DBB586D" w14:textId="1863594A" w:rsidR="001F4160" w:rsidRPr="00F2329D" w:rsidRDefault="001F4160" w:rsidP="007C3D5B">
      <w:pPr>
        <w:spacing w:after="0"/>
        <w:rPr>
          <w:rFonts w:ascii="Segoe UI Semilight" w:eastAsia="GuardianSansGR-Regular" w:hAnsi="Segoe UI Semilight" w:cs="Segoe UI Semilight"/>
          <w:i/>
          <w:iCs/>
          <w:kern w:val="0"/>
          <w:sz w:val="9"/>
          <w:szCs w:val="9"/>
        </w:rPr>
      </w:pPr>
      <w:r w:rsidRPr="001F4160">
        <w:rPr>
          <w:rFonts w:ascii="Segoe UI Semilight" w:eastAsia="GuardianSansGR-Regular" w:hAnsi="Segoe UI Semilight" w:cs="Segoe UI Semilight"/>
          <w:i/>
          <w:iCs/>
          <w:kern w:val="0"/>
          <w:sz w:val="18"/>
          <w:szCs w:val="18"/>
        </w:rPr>
        <w:t>Synthèse réalisée par</w:t>
      </w:r>
      <w:r w:rsidRPr="001F4160">
        <w:rPr>
          <w:rFonts w:ascii="Segoe UI Semilight" w:eastAsia="GuardianSansGR-Regular" w:hAnsi="Segoe UI Semilight" w:cs="Segoe UI Semilight"/>
          <w:b/>
          <w:bCs/>
          <w:i/>
          <w:iCs/>
          <w:kern w:val="0"/>
          <w:sz w:val="18"/>
          <w:szCs w:val="18"/>
        </w:rPr>
        <w:t xml:space="preserve"> Dr Chakri Soukayna</w:t>
      </w:r>
    </w:p>
    <w:p w14:paraId="7797749D" w14:textId="50FF99C6" w:rsidR="00F2329D" w:rsidRPr="00F2329D" w:rsidRDefault="00F2329D" w:rsidP="00F2329D">
      <w:pPr>
        <w:rPr>
          <w:rFonts w:ascii="Segoe UI Semilight" w:hAnsi="Segoe UI Semilight" w:cs="Segoe UI Semilight"/>
        </w:rPr>
      </w:pPr>
    </w:p>
    <w:p w14:paraId="0861B282" w14:textId="0DFCB404" w:rsidR="00F2329D" w:rsidRPr="00F2329D" w:rsidRDefault="001F4160" w:rsidP="00F2329D">
      <w:pPr>
        <w:rPr>
          <w:rFonts w:ascii="Segoe UI Semibold" w:hAnsi="Segoe UI Semibold" w:cs="Segoe UI Semibold"/>
          <w:color w:val="EE0000"/>
        </w:rPr>
      </w:pPr>
      <w:r w:rsidRPr="00F2329D">
        <w:rPr>
          <w:rFonts w:ascii="Segoe UI Semibold" w:hAnsi="Segoe UI Semibold" w:cs="Segoe UI Semibold"/>
          <w:color w:val="EE0000"/>
        </w:rPr>
        <w:t>INTRODUCTION</w:t>
      </w:r>
    </w:p>
    <w:p w14:paraId="2709E84A" w14:textId="77777777" w:rsidR="00F2329D" w:rsidRPr="00F2329D" w:rsidRDefault="00F2329D" w:rsidP="00F2329D">
      <w:pPr>
        <w:rPr>
          <w:rFonts w:ascii="Segoe UI Semilight" w:hAnsi="Segoe UI Semilight" w:cs="Segoe UI Semilight"/>
          <w:sz w:val="20"/>
          <w:szCs w:val="20"/>
        </w:rPr>
      </w:pPr>
      <w:r w:rsidRPr="00F2329D">
        <w:rPr>
          <w:rFonts w:ascii="Segoe UI Semilight" w:hAnsi="Segoe UI Semilight" w:cs="Segoe UI Semilight"/>
          <w:sz w:val="20"/>
          <w:szCs w:val="20"/>
        </w:rPr>
        <w:t>Les agonistes des récepteurs du peptide-1 de type glucagon (GLP-1) constituent une classe thérapeutique utilisée dans le traitement du diabète et de l’obésité, agissant notamment par stimulation de la sécrétion d’insuline et inhibition du glucagon.</w:t>
      </w:r>
    </w:p>
    <w:p w14:paraId="4221282A" w14:textId="77777777" w:rsidR="00F2329D" w:rsidRPr="00F2329D" w:rsidRDefault="00F2329D" w:rsidP="00F2329D">
      <w:pPr>
        <w:rPr>
          <w:rFonts w:ascii="Segoe UI Semilight" w:hAnsi="Segoe UI Semilight" w:cs="Segoe UI Semilight"/>
          <w:sz w:val="20"/>
          <w:szCs w:val="20"/>
        </w:rPr>
      </w:pPr>
      <w:r w:rsidRPr="00F2329D">
        <w:rPr>
          <w:rFonts w:ascii="Segoe UI Semilight" w:hAnsi="Segoe UI Semilight" w:cs="Segoe UI Semilight"/>
          <w:sz w:val="20"/>
          <w:szCs w:val="20"/>
        </w:rPr>
        <w:t>Les patients atteints de diabète présentent un risque accru de troubles psychiatriques, notamment de dépression, de troubles anxieux et de suicide. Une relation bidirectionnelle semble exister entre dysrégulation métabolique et troubles de l’humeur.</w:t>
      </w:r>
    </w:p>
    <w:p w14:paraId="0D0E9F77" w14:textId="77777777" w:rsidR="00F2329D" w:rsidRPr="00F2329D" w:rsidRDefault="00F2329D" w:rsidP="00F2329D">
      <w:pPr>
        <w:rPr>
          <w:rFonts w:ascii="Segoe UI Semilight" w:hAnsi="Segoe UI Semilight" w:cs="Segoe UI Semilight"/>
          <w:sz w:val="20"/>
          <w:szCs w:val="20"/>
        </w:rPr>
      </w:pPr>
      <w:r w:rsidRPr="00F2329D">
        <w:rPr>
          <w:rFonts w:ascii="Segoe UI Semilight" w:hAnsi="Segoe UI Semilight" w:cs="Segoe UI Semilight"/>
          <w:sz w:val="20"/>
          <w:szCs w:val="20"/>
        </w:rPr>
        <w:t>Les données disponibles concernant l’impact des agonistes des récepteurs du GLP-1 sur la santé mentale sont contradictoires, certaines études suggérant des effets bénéfiques tandis que d’autres évoquent un risque accru de symptômes psychiatriques. Ces divergences pourraient être liées à des biais de sélection.</w:t>
      </w:r>
    </w:p>
    <w:p w14:paraId="28BDA267" w14:textId="3405DAB1" w:rsidR="00F2329D" w:rsidRPr="00F2329D" w:rsidRDefault="00F2329D" w:rsidP="001F4160">
      <w:pPr>
        <w:rPr>
          <w:rFonts w:ascii="Segoe UI Semilight" w:hAnsi="Segoe UI Semilight" w:cs="Segoe UI Semilight"/>
          <w:sz w:val="20"/>
          <w:szCs w:val="20"/>
        </w:rPr>
      </w:pPr>
      <w:r w:rsidRPr="00F2329D">
        <w:rPr>
          <w:rFonts w:ascii="Segoe UI Semilight" w:hAnsi="Segoe UI Semilight" w:cs="Segoe UI Semilight"/>
          <w:sz w:val="20"/>
          <w:szCs w:val="20"/>
        </w:rPr>
        <w:t>Dans ce contexte, l’objectif de cette étude est d’évaluer le risque d’aggravation des troubles mentaux chez des patients présentant une dépression ou un trouble anxieux, en comparant les périodes d’exposition et de non-exposition aux agonistes des récepteurs du GLP-1 selon un modèle intra-individuel.</w:t>
      </w:r>
    </w:p>
    <w:p w14:paraId="0E0C2030" w14:textId="38E35C72" w:rsidR="00F2329D" w:rsidRPr="00F2329D" w:rsidRDefault="001F4160" w:rsidP="00F2329D">
      <w:pPr>
        <w:rPr>
          <w:rFonts w:ascii="Segoe UI Semibold" w:hAnsi="Segoe UI Semibold" w:cs="Segoe UI Semibold"/>
          <w:color w:val="EE0000"/>
        </w:rPr>
      </w:pPr>
      <w:r w:rsidRPr="00F2329D">
        <w:rPr>
          <w:rFonts w:ascii="Segoe UI Semibold" w:hAnsi="Segoe UI Semibold" w:cs="Segoe UI Semibold"/>
          <w:color w:val="EE0000"/>
        </w:rPr>
        <w:t>METHODES</w:t>
      </w:r>
    </w:p>
    <w:p w14:paraId="023B91F4" w14:textId="22147219" w:rsidR="00F2329D" w:rsidRPr="0044727D" w:rsidRDefault="00F2329D" w:rsidP="0044727D">
      <w:pPr>
        <w:pStyle w:val="Paragraphedeliste"/>
        <w:numPr>
          <w:ilvl w:val="0"/>
          <w:numId w:val="7"/>
        </w:numPr>
        <w:rPr>
          <w:rFonts w:ascii="Segoe UI Semilight" w:hAnsi="Segoe UI Semilight" w:cs="Segoe UI Semilight"/>
          <w:b/>
          <w:bCs/>
          <w:sz w:val="20"/>
          <w:szCs w:val="20"/>
        </w:rPr>
      </w:pPr>
      <w:r w:rsidRPr="0044727D">
        <w:rPr>
          <w:rFonts w:ascii="Segoe UI Semilight" w:hAnsi="Segoe UI Semilight" w:cs="Segoe UI Semilight"/>
          <w:b/>
          <w:bCs/>
          <w:sz w:val="20"/>
          <w:szCs w:val="20"/>
        </w:rPr>
        <w:t>Type d’étude et population</w:t>
      </w:r>
      <w:r w:rsidR="0044727D" w:rsidRPr="0044727D">
        <w:rPr>
          <w:rFonts w:ascii="Segoe UI Semilight" w:hAnsi="Segoe UI Semilight" w:cs="Segoe UI Semilight"/>
          <w:b/>
          <w:bCs/>
          <w:sz w:val="20"/>
          <w:szCs w:val="20"/>
        </w:rPr>
        <w:t> :</w:t>
      </w:r>
    </w:p>
    <w:p w14:paraId="425B002D" w14:textId="77777777" w:rsidR="00F2329D" w:rsidRPr="00F2329D" w:rsidRDefault="00F2329D" w:rsidP="00F2329D">
      <w:pPr>
        <w:rPr>
          <w:rFonts w:ascii="Segoe UI Semilight" w:hAnsi="Segoe UI Semilight" w:cs="Segoe UI Semilight"/>
          <w:sz w:val="20"/>
          <w:szCs w:val="20"/>
        </w:rPr>
      </w:pPr>
      <w:r w:rsidRPr="00F2329D">
        <w:rPr>
          <w:rFonts w:ascii="Segoe UI Semilight" w:hAnsi="Segoe UI Semilight" w:cs="Segoe UI Semilight"/>
          <w:sz w:val="20"/>
          <w:szCs w:val="20"/>
        </w:rPr>
        <w:t>Il s’agit d’une étude de cohorte nationale basée sur les registres de santé suédois. Ont été inclus les patients présentant un diagnostic de dépression (codes CIM-10 F32–F33) ou de trouble anxieux (F40–F43), ayant reçu un traitement antidiabétique non insulinique entre 2009 et 2022.</w:t>
      </w:r>
    </w:p>
    <w:p w14:paraId="3822A394" w14:textId="77777777" w:rsidR="00F2329D" w:rsidRPr="00F2329D" w:rsidRDefault="00F2329D" w:rsidP="00F2329D">
      <w:pPr>
        <w:rPr>
          <w:rFonts w:ascii="Segoe UI Semilight" w:hAnsi="Segoe UI Semilight" w:cs="Segoe UI Semilight"/>
          <w:sz w:val="20"/>
          <w:szCs w:val="20"/>
        </w:rPr>
      </w:pPr>
      <w:r w:rsidRPr="00F2329D">
        <w:rPr>
          <w:rFonts w:ascii="Segoe UI Semilight" w:hAnsi="Segoe UI Semilight" w:cs="Segoe UI Semilight"/>
          <w:sz w:val="20"/>
          <w:szCs w:val="20"/>
        </w:rPr>
        <w:t>Les patients présentant des troubles du spectre schizophrénique (F20–F29) ou un trouble bipolaire (F30–F31) ont été exclus.</w:t>
      </w:r>
    </w:p>
    <w:p w14:paraId="23EA3E75" w14:textId="4716BAD7" w:rsidR="00F2329D" w:rsidRPr="0044727D" w:rsidRDefault="00F2329D" w:rsidP="0044727D">
      <w:pPr>
        <w:pStyle w:val="Paragraphedeliste"/>
        <w:numPr>
          <w:ilvl w:val="0"/>
          <w:numId w:val="7"/>
        </w:numPr>
        <w:rPr>
          <w:rFonts w:ascii="Segoe UI Semilight" w:hAnsi="Segoe UI Semilight" w:cs="Segoe UI Semilight"/>
          <w:b/>
          <w:bCs/>
          <w:sz w:val="20"/>
          <w:szCs w:val="20"/>
        </w:rPr>
      </w:pPr>
      <w:r w:rsidRPr="0044727D">
        <w:rPr>
          <w:rFonts w:ascii="Segoe UI Semilight" w:hAnsi="Segoe UI Semilight" w:cs="Segoe UI Semilight"/>
          <w:b/>
          <w:bCs/>
          <w:sz w:val="20"/>
          <w:szCs w:val="20"/>
        </w:rPr>
        <w:t>Expositions</w:t>
      </w:r>
      <w:r w:rsidR="0044727D" w:rsidRPr="0044727D">
        <w:rPr>
          <w:rFonts w:ascii="Segoe UI Semilight" w:hAnsi="Segoe UI Semilight" w:cs="Segoe UI Semilight"/>
          <w:b/>
          <w:bCs/>
          <w:sz w:val="20"/>
          <w:szCs w:val="20"/>
        </w:rPr>
        <w:t> :</w:t>
      </w:r>
    </w:p>
    <w:p w14:paraId="6C6AD23D" w14:textId="77777777" w:rsidR="00F2329D" w:rsidRPr="00F2329D" w:rsidRDefault="00F2329D" w:rsidP="00F2329D">
      <w:pPr>
        <w:rPr>
          <w:rFonts w:ascii="Segoe UI Semilight" w:hAnsi="Segoe UI Semilight" w:cs="Segoe UI Semilight"/>
          <w:sz w:val="20"/>
          <w:szCs w:val="20"/>
        </w:rPr>
      </w:pPr>
      <w:r w:rsidRPr="00F2329D">
        <w:rPr>
          <w:rFonts w:ascii="Segoe UI Semilight" w:hAnsi="Segoe UI Semilight" w:cs="Segoe UI Semilight"/>
          <w:sz w:val="20"/>
          <w:szCs w:val="20"/>
        </w:rPr>
        <w:t>Les expositions étudiées étaient les agonistes des récepteurs du GLP-1 suivants : sémaglutide, liraglutide, exénatide et dulaglutide. Une analyse globale de classe a également été réalisée.</w:t>
      </w:r>
    </w:p>
    <w:p w14:paraId="59104FCA" w14:textId="77777777" w:rsidR="00F2329D" w:rsidRPr="00F2329D" w:rsidRDefault="00F2329D" w:rsidP="00F2329D">
      <w:pPr>
        <w:rPr>
          <w:rFonts w:ascii="Segoe UI Semilight" w:hAnsi="Segoe UI Semilight" w:cs="Segoe UI Semilight"/>
          <w:sz w:val="20"/>
          <w:szCs w:val="20"/>
        </w:rPr>
      </w:pPr>
      <w:r w:rsidRPr="00F2329D">
        <w:rPr>
          <w:rFonts w:ascii="Segoe UI Semilight" w:hAnsi="Segoe UI Semilight" w:cs="Segoe UI Semilight"/>
          <w:sz w:val="20"/>
          <w:szCs w:val="20"/>
        </w:rPr>
        <w:t>Des comparaisons ont été effectuées avec les périodes sans utilisation de ces traitements ainsi qu’avec d’autres antidiabétiques de seconde ligne (inhibiteurs du SGLT2 et inhibiteurs de la DPP-4).</w:t>
      </w:r>
    </w:p>
    <w:p w14:paraId="61D1EC4C" w14:textId="1057C5FB" w:rsidR="00F2329D" w:rsidRPr="0044727D" w:rsidRDefault="00F2329D" w:rsidP="0044727D">
      <w:pPr>
        <w:pStyle w:val="Paragraphedeliste"/>
        <w:numPr>
          <w:ilvl w:val="0"/>
          <w:numId w:val="7"/>
        </w:numPr>
        <w:rPr>
          <w:rFonts w:ascii="Segoe UI Semilight" w:hAnsi="Segoe UI Semilight" w:cs="Segoe UI Semilight"/>
          <w:b/>
          <w:bCs/>
          <w:sz w:val="20"/>
          <w:szCs w:val="20"/>
        </w:rPr>
      </w:pPr>
      <w:r w:rsidRPr="0044727D">
        <w:rPr>
          <w:rFonts w:ascii="Segoe UI Semilight" w:hAnsi="Segoe UI Semilight" w:cs="Segoe UI Semilight"/>
          <w:b/>
          <w:bCs/>
          <w:sz w:val="20"/>
          <w:szCs w:val="20"/>
        </w:rPr>
        <w:t>Critères de jugement</w:t>
      </w:r>
    </w:p>
    <w:p w14:paraId="4D62F95F" w14:textId="7D7A47C8" w:rsidR="00F2329D" w:rsidRPr="00F2329D" w:rsidRDefault="00F2329D" w:rsidP="0044727D">
      <w:pPr>
        <w:spacing w:after="0"/>
        <w:rPr>
          <w:rFonts w:ascii="Segoe UI Semilight" w:hAnsi="Segoe UI Semilight" w:cs="Segoe UI Semilight"/>
          <w:sz w:val="20"/>
          <w:szCs w:val="20"/>
        </w:rPr>
      </w:pPr>
      <w:r w:rsidRPr="00F2329D">
        <w:rPr>
          <w:rFonts w:ascii="Segoe UI Semilight" w:hAnsi="Segoe UI Semilight" w:cs="Segoe UI Semilight"/>
          <w:sz w:val="20"/>
          <w:szCs w:val="20"/>
        </w:rPr>
        <w:t>Le critère principal était l’aggravation des troubles mentaux, définie comme un critère composite incluant</w:t>
      </w:r>
      <w:r w:rsidR="0044727D">
        <w:rPr>
          <w:rFonts w:ascii="Segoe UI Semilight" w:hAnsi="Segoe UI Semilight" w:cs="Segoe UI Semilight"/>
          <w:sz w:val="20"/>
          <w:szCs w:val="20"/>
        </w:rPr>
        <w:t xml:space="preserve"> </w:t>
      </w:r>
      <w:r w:rsidRPr="00F2329D">
        <w:rPr>
          <w:rFonts w:ascii="Segoe UI Semilight" w:hAnsi="Segoe UI Semilight" w:cs="Segoe UI Semilight"/>
          <w:sz w:val="20"/>
          <w:szCs w:val="20"/>
        </w:rPr>
        <w:t>:</w:t>
      </w:r>
    </w:p>
    <w:p w14:paraId="39AEE62D" w14:textId="3C669E65" w:rsidR="0044727D" w:rsidRPr="0044727D" w:rsidRDefault="00D528D4" w:rsidP="0044727D">
      <w:pPr>
        <w:pStyle w:val="Paragraphedeliste"/>
        <w:numPr>
          <w:ilvl w:val="0"/>
          <w:numId w:val="11"/>
        </w:numPr>
        <w:spacing w:after="0"/>
        <w:rPr>
          <w:rFonts w:ascii="Segoe UI Semilight" w:hAnsi="Segoe UI Semilight" w:cs="Segoe UI Semilight"/>
          <w:sz w:val="20"/>
          <w:szCs w:val="20"/>
        </w:rPr>
      </w:pPr>
      <w:r w:rsidRPr="0044727D">
        <w:rPr>
          <w:rFonts w:ascii="Segoe UI Semilight" w:hAnsi="Segoe UI Semilight" w:cs="Segoe UI Semilight"/>
          <w:sz w:val="20"/>
          <w:szCs w:val="20"/>
        </w:rPr>
        <w:t>Hospitalisation</w:t>
      </w:r>
      <w:r w:rsidR="00F2329D" w:rsidRPr="0044727D">
        <w:rPr>
          <w:rFonts w:ascii="Segoe UI Semilight" w:hAnsi="Segoe UI Semilight" w:cs="Segoe UI Semilight"/>
          <w:sz w:val="20"/>
          <w:szCs w:val="20"/>
        </w:rPr>
        <w:t xml:space="preserve"> psychiatrique,</w:t>
      </w:r>
    </w:p>
    <w:p w14:paraId="183AE547" w14:textId="2E96AEEA" w:rsidR="00F2329D" w:rsidRPr="0044727D" w:rsidRDefault="00D528D4" w:rsidP="0044727D">
      <w:pPr>
        <w:pStyle w:val="Paragraphedeliste"/>
        <w:numPr>
          <w:ilvl w:val="0"/>
          <w:numId w:val="11"/>
        </w:numPr>
        <w:spacing w:after="0"/>
        <w:rPr>
          <w:rFonts w:ascii="Segoe UI Semilight" w:hAnsi="Segoe UI Semilight" w:cs="Segoe UI Semilight"/>
          <w:sz w:val="20"/>
          <w:szCs w:val="20"/>
        </w:rPr>
      </w:pPr>
      <w:r w:rsidRPr="0044727D">
        <w:rPr>
          <w:rFonts w:ascii="Segoe UI Semilight" w:hAnsi="Segoe UI Semilight" w:cs="Segoe UI Semilight"/>
          <w:sz w:val="20"/>
          <w:szCs w:val="20"/>
        </w:rPr>
        <w:t>Arrêt</w:t>
      </w:r>
      <w:r w:rsidR="00F2329D" w:rsidRPr="0044727D">
        <w:rPr>
          <w:rFonts w:ascii="Segoe UI Semilight" w:hAnsi="Segoe UI Semilight" w:cs="Segoe UI Semilight"/>
          <w:sz w:val="20"/>
          <w:szCs w:val="20"/>
        </w:rPr>
        <w:t xml:space="preserve"> de travail &gt;14 jours pour motif psychiatrique,</w:t>
      </w:r>
    </w:p>
    <w:p w14:paraId="267AA2A5" w14:textId="2A484B79" w:rsidR="00F2329D" w:rsidRPr="0044727D" w:rsidRDefault="00D528D4" w:rsidP="0044727D">
      <w:pPr>
        <w:pStyle w:val="Paragraphedeliste"/>
        <w:numPr>
          <w:ilvl w:val="0"/>
          <w:numId w:val="11"/>
        </w:numPr>
        <w:spacing w:after="0"/>
        <w:rPr>
          <w:rFonts w:ascii="Segoe UI Semilight" w:hAnsi="Segoe UI Semilight" w:cs="Segoe UI Semilight"/>
          <w:sz w:val="20"/>
          <w:szCs w:val="20"/>
        </w:rPr>
      </w:pPr>
      <w:r w:rsidRPr="0044727D">
        <w:rPr>
          <w:rFonts w:ascii="Segoe UI Semilight" w:hAnsi="Segoe UI Semilight" w:cs="Segoe UI Semilight"/>
          <w:sz w:val="20"/>
          <w:szCs w:val="20"/>
        </w:rPr>
        <w:t>Hospitalisation</w:t>
      </w:r>
      <w:r w:rsidR="00F2329D" w:rsidRPr="0044727D">
        <w:rPr>
          <w:rFonts w:ascii="Segoe UI Semilight" w:hAnsi="Segoe UI Semilight" w:cs="Segoe UI Semilight"/>
          <w:sz w:val="20"/>
          <w:szCs w:val="20"/>
        </w:rPr>
        <w:t xml:space="preserve"> pour automutilation,</w:t>
      </w:r>
    </w:p>
    <w:p w14:paraId="49BE6337" w14:textId="1166C89C" w:rsidR="00F2329D" w:rsidRPr="0044727D" w:rsidRDefault="00D528D4" w:rsidP="0044727D">
      <w:pPr>
        <w:pStyle w:val="Paragraphedeliste"/>
        <w:numPr>
          <w:ilvl w:val="0"/>
          <w:numId w:val="11"/>
        </w:numPr>
        <w:rPr>
          <w:rFonts w:ascii="Segoe UI Semilight" w:hAnsi="Segoe UI Semilight" w:cs="Segoe UI Semilight"/>
          <w:sz w:val="20"/>
          <w:szCs w:val="20"/>
        </w:rPr>
      </w:pPr>
      <w:r w:rsidRPr="0044727D">
        <w:rPr>
          <w:rFonts w:ascii="Segoe UI Semilight" w:hAnsi="Segoe UI Semilight" w:cs="Segoe UI Semilight"/>
          <w:sz w:val="20"/>
          <w:szCs w:val="20"/>
        </w:rPr>
        <w:t>Décès</w:t>
      </w:r>
      <w:r w:rsidR="00F2329D" w:rsidRPr="0044727D">
        <w:rPr>
          <w:rFonts w:ascii="Segoe UI Semilight" w:hAnsi="Segoe UI Semilight" w:cs="Segoe UI Semilight"/>
          <w:sz w:val="20"/>
          <w:szCs w:val="20"/>
        </w:rPr>
        <w:t xml:space="preserve"> par suicide.</w:t>
      </w:r>
    </w:p>
    <w:p w14:paraId="27F11591" w14:textId="77777777" w:rsidR="00F2329D" w:rsidRPr="00F2329D" w:rsidRDefault="00F2329D" w:rsidP="00F2329D">
      <w:pPr>
        <w:rPr>
          <w:rFonts w:ascii="Segoe UI Semilight" w:hAnsi="Segoe UI Semilight" w:cs="Segoe UI Semilight"/>
          <w:sz w:val="20"/>
          <w:szCs w:val="20"/>
        </w:rPr>
      </w:pPr>
      <w:r w:rsidRPr="00F2329D">
        <w:rPr>
          <w:rFonts w:ascii="Segoe UI Semilight" w:hAnsi="Segoe UI Semilight" w:cs="Segoe UI Semilight"/>
          <w:sz w:val="20"/>
          <w:szCs w:val="20"/>
        </w:rPr>
        <w:t>Les critères secondaires comprenaient :</w:t>
      </w:r>
    </w:p>
    <w:p w14:paraId="66D51452" w14:textId="16AEA1E6" w:rsidR="00F2329D" w:rsidRPr="00F2329D" w:rsidRDefault="00D528D4" w:rsidP="0044727D">
      <w:pPr>
        <w:numPr>
          <w:ilvl w:val="0"/>
          <w:numId w:val="12"/>
        </w:numPr>
        <w:spacing w:after="0"/>
        <w:rPr>
          <w:rFonts w:ascii="Segoe UI Semilight" w:hAnsi="Segoe UI Semilight" w:cs="Segoe UI Semilight"/>
          <w:sz w:val="20"/>
          <w:szCs w:val="20"/>
        </w:rPr>
      </w:pPr>
      <w:r w:rsidRPr="00F2329D">
        <w:rPr>
          <w:rFonts w:ascii="Segoe UI Semilight" w:hAnsi="Segoe UI Semilight" w:cs="Segoe UI Semilight"/>
          <w:sz w:val="20"/>
          <w:szCs w:val="20"/>
        </w:rPr>
        <w:t>Aggravation</w:t>
      </w:r>
      <w:r w:rsidR="00F2329D" w:rsidRPr="00F2329D">
        <w:rPr>
          <w:rFonts w:ascii="Segoe UI Semilight" w:hAnsi="Segoe UI Semilight" w:cs="Segoe UI Semilight"/>
          <w:sz w:val="20"/>
          <w:szCs w:val="20"/>
        </w:rPr>
        <w:t xml:space="preserve"> de la dépression,</w:t>
      </w:r>
    </w:p>
    <w:p w14:paraId="177973EB" w14:textId="5A9F7DA2" w:rsidR="00F2329D" w:rsidRPr="00F2329D" w:rsidRDefault="00D528D4" w:rsidP="0044727D">
      <w:pPr>
        <w:numPr>
          <w:ilvl w:val="0"/>
          <w:numId w:val="12"/>
        </w:numPr>
        <w:spacing w:after="0"/>
        <w:rPr>
          <w:rFonts w:ascii="Segoe UI Semilight" w:hAnsi="Segoe UI Semilight" w:cs="Segoe UI Semilight"/>
          <w:sz w:val="20"/>
          <w:szCs w:val="20"/>
        </w:rPr>
      </w:pPr>
      <w:r w:rsidRPr="00F2329D">
        <w:rPr>
          <w:rFonts w:ascii="Segoe UI Semilight" w:hAnsi="Segoe UI Semilight" w:cs="Segoe UI Semilight"/>
          <w:sz w:val="20"/>
          <w:szCs w:val="20"/>
        </w:rPr>
        <w:t>Aggravation</w:t>
      </w:r>
      <w:r w:rsidR="00F2329D" w:rsidRPr="00F2329D">
        <w:rPr>
          <w:rFonts w:ascii="Segoe UI Semilight" w:hAnsi="Segoe UI Semilight" w:cs="Segoe UI Semilight"/>
          <w:sz w:val="20"/>
          <w:szCs w:val="20"/>
        </w:rPr>
        <w:t xml:space="preserve"> des troubles anxieux,</w:t>
      </w:r>
    </w:p>
    <w:p w14:paraId="2960C7F4" w14:textId="23DD7D5D" w:rsidR="00F2329D" w:rsidRPr="00F2329D" w:rsidRDefault="00D528D4" w:rsidP="0044727D">
      <w:pPr>
        <w:numPr>
          <w:ilvl w:val="0"/>
          <w:numId w:val="12"/>
        </w:numPr>
        <w:spacing w:after="0"/>
        <w:rPr>
          <w:rFonts w:ascii="Segoe UI Semilight" w:hAnsi="Segoe UI Semilight" w:cs="Segoe UI Semilight"/>
          <w:sz w:val="20"/>
          <w:szCs w:val="20"/>
        </w:rPr>
      </w:pPr>
      <w:r w:rsidRPr="00F2329D">
        <w:rPr>
          <w:rFonts w:ascii="Segoe UI Semilight" w:hAnsi="Segoe UI Semilight" w:cs="Segoe UI Semilight"/>
          <w:sz w:val="20"/>
          <w:szCs w:val="20"/>
        </w:rPr>
        <w:t>Troubles</w:t>
      </w:r>
      <w:r w:rsidR="00F2329D" w:rsidRPr="00F2329D">
        <w:rPr>
          <w:rFonts w:ascii="Segoe UI Semilight" w:hAnsi="Segoe UI Semilight" w:cs="Segoe UI Semilight"/>
          <w:sz w:val="20"/>
          <w:szCs w:val="20"/>
        </w:rPr>
        <w:t xml:space="preserve"> liés à l’usage de substances,</w:t>
      </w:r>
    </w:p>
    <w:p w14:paraId="00E39D5B" w14:textId="5AEF4373" w:rsidR="00F2329D" w:rsidRPr="00F2329D" w:rsidRDefault="00D528D4" w:rsidP="0044727D">
      <w:pPr>
        <w:numPr>
          <w:ilvl w:val="0"/>
          <w:numId w:val="12"/>
        </w:numPr>
        <w:rPr>
          <w:rFonts w:ascii="Segoe UI Semilight" w:hAnsi="Segoe UI Semilight" w:cs="Segoe UI Semilight"/>
          <w:sz w:val="20"/>
          <w:szCs w:val="20"/>
        </w:rPr>
      </w:pPr>
      <w:r w:rsidRPr="00E53E4D">
        <w:rPr>
          <w:rFonts w:ascii="Segoe UI Semilight" w:hAnsi="Segoe UI Semilight" w:cs="Segoe UI Semilight"/>
          <w:sz w:val="20"/>
          <w:szCs w:val="20"/>
        </w:rPr>
        <w:t>Comportements</w:t>
      </w:r>
      <w:r w:rsidR="0075647F" w:rsidRPr="00E53E4D">
        <w:rPr>
          <w:rFonts w:ascii="Segoe UI Semilight" w:hAnsi="Segoe UI Semilight" w:cs="Segoe UI Semilight"/>
          <w:sz w:val="20"/>
          <w:szCs w:val="20"/>
        </w:rPr>
        <w:t xml:space="preserve"> auto-agressifs</w:t>
      </w:r>
    </w:p>
    <w:p w14:paraId="37186B00" w14:textId="1A005DEC" w:rsidR="00F2329D" w:rsidRPr="0044727D" w:rsidRDefault="00F2329D" w:rsidP="0044727D">
      <w:pPr>
        <w:pStyle w:val="Paragraphedeliste"/>
        <w:numPr>
          <w:ilvl w:val="0"/>
          <w:numId w:val="7"/>
        </w:numPr>
        <w:rPr>
          <w:rFonts w:ascii="Segoe UI Semilight" w:hAnsi="Segoe UI Semilight" w:cs="Segoe UI Semilight"/>
          <w:b/>
          <w:bCs/>
          <w:sz w:val="20"/>
          <w:szCs w:val="20"/>
        </w:rPr>
      </w:pPr>
      <w:r w:rsidRPr="0044727D">
        <w:rPr>
          <w:rFonts w:ascii="Segoe UI Semilight" w:hAnsi="Segoe UI Semilight" w:cs="Segoe UI Semilight"/>
          <w:b/>
          <w:bCs/>
          <w:sz w:val="20"/>
          <w:szCs w:val="20"/>
        </w:rPr>
        <w:lastRenderedPageBreak/>
        <w:t>Analyse statistique</w:t>
      </w:r>
    </w:p>
    <w:p w14:paraId="3ECDA8A8" w14:textId="6D9D491F" w:rsidR="00F2329D" w:rsidRPr="00F2329D" w:rsidRDefault="00F2329D" w:rsidP="00F2329D">
      <w:pPr>
        <w:rPr>
          <w:rFonts w:ascii="Segoe UI Semilight" w:hAnsi="Segoe UI Semilight" w:cs="Segoe UI Semilight"/>
          <w:sz w:val="20"/>
          <w:szCs w:val="20"/>
        </w:rPr>
      </w:pPr>
      <w:r w:rsidRPr="00F2329D">
        <w:rPr>
          <w:rFonts w:ascii="Segoe UI Semilight" w:hAnsi="Segoe UI Semilight" w:cs="Segoe UI Semilight"/>
          <w:sz w:val="20"/>
          <w:szCs w:val="20"/>
        </w:rPr>
        <w:t>Une analyse intra-individuelle a été utilisée via des modèles de Cox à effets fixes, permettant de limiter les biais de confusion liés aux caractéristiques individuelles constantes.</w:t>
      </w:r>
    </w:p>
    <w:p w14:paraId="1888DC84" w14:textId="27FB6919" w:rsidR="00F2329D" w:rsidRPr="00D528D4" w:rsidRDefault="00F2329D" w:rsidP="00D528D4">
      <w:pPr>
        <w:rPr>
          <w:rFonts w:ascii="Segoe UI Semilight" w:hAnsi="Segoe UI Semilight" w:cs="Segoe UI Semilight"/>
          <w:sz w:val="20"/>
          <w:szCs w:val="20"/>
        </w:rPr>
      </w:pPr>
      <w:r w:rsidRPr="00F2329D">
        <w:rPr>
          <w:rFonts w:ascii="Segoe UI Semilight" w:hAnsi="Segoe UI Semilight" w:cs="Segoe UI Semilight"/>
          <w:sz w:val="20"/>
          <w:szCs w:val="20"/>
        </w:rPr>
        <w:t>Les résultats sont exprimés en hazard ratios ajustés (HRa) avec intervalles de confiance à 95 %.</w:t>
      </w:r>
    </w:p>
    <w:p w14:paraId="55806D6C" w14:textId="06C83A98" w:rsidR="00F2329D" w:rsidRPr="00F2329D" w:rsidRDefault="0044727D" w:rsidP="00F2329D">
      <w:pPr>
        <w:rPr>
          <w:rFonts w:ascii="Segoe UI Semibold" w:hAnsi="Segoe UI Semibold" w:cs="Segoe UI Semibold"/>
          <w:color w:val="EE0000"/>
        </w:rPr>
      </w:pPr>
      <w:r w:rsidRPr="0044727D">
        <w:rPr>
          <w:rFonts w:ascii="Segoe UI Semibold" w:hAnsi="Segoe UI Semibold" w:cs="Segoe UI Semibold"/>
          <w:color w:val="EE0000"/>
        </w:rPr>
        <w:t>RESULTATS</w:t>
      </w:r>
    </w:p>
    <w:p w14:paraId="3AF2AE4A" w14:textId="61114278" w:rsidR="00F2329D" w:rsidRPr="0044727D" w:rsidRDefault="00F2329D" w:rsidP="0044727D">
      <w:pPr>
        <w:pStyle w:val="Paragraphedeliste"/>
        <w:numPr>
          <w:ilvl w:val="1"/>
          <w:numId w:val="12"/>
        </w:numPr>
        <w:ind w:left="709"/>
        <w:rPr>
          <w:rFonts w:ascii="Segoe UI Semilight" w:hAnsi="Segoe UI Semilight" w:cs="Segoe UI Semilight"/>
          <w:b/>
          <w:bCs/>
          <w:sz w:val="20"/>
          <w:szCs w:val="20"/>
        </w:rPr>
      </w:pPr>
      <w:r w:rsidRPr="0044727D">
        <w:rPr>
          <w:rFonts w:ascii="Segoe UI Semilight" w:hAnsi="Segoe UI Semilight" w:cs="Segoe UI Semilight"/>
          <w:b/>
          <w:bCs/>
          <w:sz w:val="20"/>
          <w:szCs w:val="20"/>
        </w:rPr>
        <w:t xml:space="preserve">Caractéristiques de la </w:t>
      </w:r>
      <w:r w:rsidR="00354EA5" w:rsidRPr="0044727D">
        <w:rPr>
          <w:rFonts w:ascii="Segoe UI Semilight" w:hAnsi="Segoe UI Semilight" w:cs="Segoe UI Semilight"/>
          <w:b/>
          <w:bCs/>
          <w:sz w:val="20"/>
          <w:szCs w:val="20"/>
        </w:rPr>
        <w:t>cohorte</w:t>
      </w:r>
    </w:p>
    <w:p w14:paraId="0B150F7F" w14:textId="77777777" w:rsidR="00F2329D" w:rsidRPr="00F2329D" w:rsidRDefault="00F2329D" w:rsidP="00F2329D">
      <w:pPr>
        <w:rPr>
          <w:rFonts w:ascii="Segoe UI Semilight" w:hAnsi="Segoe UI Semilight" w:cs="Segoe UI Semilight"/>
          <w:sz w:val="20"/>
          <w:szCs w:val="20"/>
        </w:rPr>
      </w:pPr>
      <w:r w:rsidRPr="00F2329D">
        <w:rPr>
          <w:rFonts w:ascii="Segoe UI Semilight" w:hAnsi="Segoe UI Semilight" w:cs="Segoe UI Semilight"/>
          <w:sz w:val="20"/>
          <w:szCs w:val="20"/>
        </w:rPr>
        <w:t>La cohorte comprenait 95 490 patients, d’âge moyen 50,6 ans, dont 59,7 % de femmes.</w:t>
      </w:r>
    </w:p>
    <w:p w14:paraId="224B62C6" w14:textId="77777777" w:rsidR="0044727D" w:rsidRDefault="0019609C" w:rsidP="004B36A0">
      <w:pPr>
        <w:spacing w:after="0"/>
        <w:rPr>
          <w:rFonts w:ascii="Segoe UI Semilight" w:hAnsi="Segoe UI Semilight" w:cs="Segoe UI Semilight"/>
          <w:sz w:val="20"/>
          <w:szCs w:val="20"/>
        </w:rPr>
      </w:pPr>
      <w:r w:rsidRPr="0044727D">
        <w:rPr>
          <w:rFonts w:ascii="Segoe UI Semilight" w:hAnsi="Segoe UI Semilight" w:cs="Segoe UI Semilight"/>
          <w:sz w:val="20"/>
          <w:szCs w:val="20"/>
        </w:rPr>
        <w:t>Parmi eux :</w:t>
      </w:r>
    </w:p>
    <w:p w14:paraId="4479D205" w14:textId="77777777" w:rsidR="0044727D" w:rsidRDefault="0019609C" w:rsidP="0044727D">
      <w:pPr>
        <w:pStyle w:val="Paragraphedeliste"/>
        <w:numPr>
          <w:ilvl w:val="0"/>
          <w:numId w:val="14"/>
        </w:numPr>
        <w:rPr>
          <w:rFonts w:ascii="Segoe UI Semilight" w:hAnsi="Segoe UI Semilight" w:cs="Segoe UI Semilight"/>
          <w:sz w:val="20"/>
          <w:szCs w:val="20"/>
        </w:rPr>
      </w:pPr>
      <w:r w:rsidRPr="0044727D">
        <w:rPr>
          <w:rFonts w:ascii="Segoe UI Semilight" w:hAnsi="Segoe UI Semilight" w:cs="Segoe UI Semilight"/>
          <w:sz w:val="20"/>
          <w:szCs w:val="20"/>
        </w:rPr>
        <w:t>81,5 % présentaient un trouble anxieux,</w:t>
      </w:r>
    </w:p>
    <w:p w14:paraId="43EB449D" w14:textId="77777777" w:rsidR="0044727D" w:rsidRDefault="0019609C" w:rsidP="0044727D">
      <w:pPr>
        <w:pStyle w:val="Paragraphedeliste"/>
        <w:numPr>
          <w:ilvl w:val="0"/>
          <w:numId w:val="14"/>
        </w:numPr>
        <w:rPr>
          <w:rFonts w:ascii="Segoe UI Semilight" w:hAnsi="Segoe UI Semilight" w:cs="Segoe UI Semilight"/>
          <w:sz w:val="20"/>
          <w:szCs w:val="20"/>
        </w:rPr>
      </w:pPr>
      <w:r w:rsidRPr="0044727D">
        <w:rPr>
          <w:rFonts w:ascii="Segoe UI Semilight" w:hAnsi="Segoe UI Semilight" w:cs="Segoe UI Semilight"/>
          <w:sz w:val="20"/>
          <w:szCs w:val="20"/>
        </w:rPr>
        <w:t>54,9 % une dépression,</w:t>
      </w:r>
    </w:p>
    <w:p w14:paraId="1FE4D7CA" w14:textId="77777777" w:rsidR="0044727D" w:rsidRDefault="0019609C" w:rsidP="0044727D">
      <w:pPr>
        <w:pStyle w:val="Paragraphedeliste"/>
        <w:numPr>
          <w:ilvl w:val="0"/>
          <w:numId w:val="14"/>
        </w:numPr>
        <w:rPr>
          <w:rFonts w:ascii="Segoe UI Semilight" w:hAnsi="Segoe UI Semilight" w:cs="Segoe UI Semilight"/>
          <w:sz w:val="20"/>
          <w:szCs w:val="20"/>
        </w:rPr>
      </w:pPr>
      <w:r w:rsidRPr="0044727D">
        <w:rPr>
          <w:rFonts w:ascii="Segoe UI Semilight" w:hAnsi="Segoe UI Semilight" w:cs="Segoe UI Semilight"/>
          <w:sz w:val="20"/>
          <w:szCs w:val="20"/>
        </w:rPr>
        <w:t xml:space="preserve">36,4 % une comorbidité anxio-dépressive. </w:t>
      </w:r>
    </w:p>
    <w:p w14:paraId="0BC1F90E" w14:textId="33B41DB7" w:rsidR="00354EA5" w:rsidRPr="0044727D" w:rsidRDefault="00354EA5" w:rsidP="0044727D">
      <w:pPr>
        <w:rPr>
          <w:rFonts w:ascii="Segoe UI Semilight" w:hAnsi="Segoe UI Semilight" w:cs="Segoe UI Semilight"/>
          <w:sz w:val="20"/>
          <w:szCs w:val="20"/>
        </w:rPr>
      </w:pPr>
      <w:r w:rsidRPr="0044727D">
        <w:rPr>
          <w:rFonts w:ascii="Segoe UI Semilight" w:hAnsi="Segoe UI Semilight" w:cs="Segoe UI Semilight"/>
          <w:sz w:val="20"/>
          <w:szCs w:val="20"/>
        </w:rPr>
        <w:t>La durée moyenne de suivi était de 5,2 ans (écart-type : 3,9).</w:t>
      </w:r>
    </w:p>
    <w:p w14:paraId="2B7C5771" w14:textId="77777777" w:rsidR="00354EA5" w:rsidRPr="00354EA5" w:rsidRDefault="00354EA5" w:rsidP="00354EA5">
      <w:pPr>
        <w:rPr>
          <w:rFonts w:ascii="Segoe UI Semilight" w:hAnsi="Segoe UI Semilight" w:cs="Segoe UI Semilight"/>
          <w:sz w:val="20"/>
          <w:szCs w:val="20"/>
        </w:rPr>
      </w:pPr>
      <w:r w:rsidRPr="00354EA5">
        <w:rPr>
          <w:rFonts w:ascii="Segoe UI Semilight" w:hAnsi="Segoe UI Semilight" w:cs="Segoe UI Semilight"/>
          <w:sz w:val="20"/>
          <w:szCs w:val="20"/>
        </w:rPr>
        <w:t>L’événement principal d’aggravation des troubles mentaux est survenu chez 32 638 patients au moins une fois.</w:t>
      </w:r>
    </w:p>
    <w:p w14:paraId="591F9AFF" w14:textId="77777777" w:rsidR="004B36A0" w:rsidRPr="006A666D" w:rsidRDefault="0019609C" w:rsidP="004B36A0">
      <w:pPr>
        <w:spacing w:after="0"/>
        <w:rPr>
          <w:rFonts w:ascii="Segoe UI Semilight" w:hAnsi="Segoe UI Semilight" w:cs="Segoe UI Semilight"/>
          <w:sz w:val="20"/>
          <w:szCs w:val="20"/>
          <w:lang w:val="fr-MA"/>
        </w:rPr>
      </w:pPr>
      <w:r w:rsidRPr="004B36A0">
        <w:rPr>
          <w:rFonts w:ascii="Segoe UI Semilight" w:hAnsi="Segoe UI Semilight" w:cs="Segoe UI Semilight"/>
          <w:sz w:val="20"/>
          <w:szCs w:val="20"/>
        </w:rPr>
        <w:t>Concernant l’exposition aux traitements :</w:t>
      </w:r>
    </w:p>
    <w:p w14:paraId="4D1D0571" w14:textId="7D9F08C0" w:rsidR="004B36A0" w:rsidRPr="004B36A0" w:rsidRDefault="0019609C" w:rsidP="004B36A0">
      <w:pPr>
        <w:pStyle w:val="Paragraphedeliste"/>
        <w:numPr>
          <w:ilvl w:val="0"/>
          <w:numId w:val="17"/>
        </w:numPr>
        <w:rPr>
          <w:rFonts w:ascii="Segoe UI Semilight" w:hAnsi="Segoe UI Semilight" w:cs="Segoe UI Semilight"/>
          <w:sz w:val="20"/>
          <w:szCs w:val="20"/>
        </w:rPr>
      </w:pPr>
      <w:r w:rsidRPr="004B36A0">
        <w:rPr>
          <w:rFonts w:ascii="Segoe UI Semilight" w:hAnsi="Segoe UI Semilight" w:cs="Segoe UI Semilight"/>
          <w:sz w:val="20"/>
          <w:szCs w:val="20"/>
        </w:rPr>
        <w:t>59,8 % des patients exposés ont reçu du sémaglutide,</w:t>
      </w:r>
    </w:p>
    <w:p w14:paraId="6635321E" w14:textId="7ED8C472" w:rsidR="004B36A0" w:rsidRPr="00D528D4" w:rsidRDefault="0019609C" w:rsidP="00D528D4">
      <w:pPr>
        <w:pStyle w:val="Paragraphedeliste"/>
        <w:numPr>
          <w:ilvl w:val="0"/>
          <w:numId w:val="15"/>
        </w:numPr>
        <w:spacing w:after="120"/>
        <w:rPr>
          <w:rFonts w:ascii="Segoe UI Semilight" w:hAnsi="Segoe UI Semilight" w:cs="Segoe UI Semilight"/>
          <w:sz w:val="20"/>
          <w:szCs w:val="20"/>
        </w:rPr>
      </w:pPr>
      <w:r w:rsidRPr="004B36A0">
        <w:rPr>
          <w:rFonts w:ascii="Segoe UI Semilight" w:hAnsi="Segoe UI Semilight" w:cs="Segoe UI Semilight"/>
          <w:sz w:val="20"/>
          <w:szCs w:val="20"/>
        </w:rPr>
        <w:t xml:space="preserve">46,9 % du </w:t>
      </w:r>
      <w:proofErr w:type="spellStart"/>
      <w:r w:rsidRPr="004B36A0">
        <w:rPr>
          <w:rFonts w:ascii="Segoe UI Semilight" w:hAnsi="Segoe UI Semilight" w:cs="Segoe UI Semilight"/>
          <w:sz w:val="20"/>
          <w:szCs w:val="20"/>
        </w:rPr>
        <w:t>liraglutide</w:t>
      </w:r>
      <w:proofErr w:type="spellEnd"/>
      <w:r w:rsidRPr="004B36A0">
        <w:rPr>
          <w:rFonts w:ascii="Segoe UI Semilight" w:hAnsi="Segoe UI Semilight" w:cs="Segoe UI Semilight"/>
          <w:sz w:val="20"/>
          <w:szCs w:val="20"/>
        </w:rPr>
        <w:t>.</w:t>
      </w:r>
    </w:p>
    <w:p w14:paraId="5AC5287D" w14:textId="3DD4825D" w:rsidR="0019609C" w:rsidRPr="004B36A0" w:rsidRDefault="00D528D4" w:rsidP="004B36A0">
      <w:pPr>
        <w:pStyle w:val="Paragraphedeliste"/>
        <w:numPr>
          <w:ilvl w:val="1"/>
          <w:numId w:val="12"/>
        </w:numPr>
        <w:ind w:left="709"/>
        <w:rPr>
          <w:rFonts w:ascii="Segoe UI Semilight" w:hAnsi="Segoe UI Semilight" w:cs="Segoe UI Semilight"/>
          <w:b/>
          <w:bCs/>
          <w:sz w:val="20"/>
          <w:szCs w:val="20"/>
        </w:rPr>
      </w:pPr>
      <w:r>
        <w:rPr>
          <w:rFonts w:ascii="Segoe UI Semilight" w:hAnsi="Segoe UI Semilight" w:cs="Segoe UI Semilight"/>
          <w:b/>
          <w:bCs/>
          <w:sz w:val="20"/>
          <w:szCs w:val="20"/>
        </w:rPr>
        <w:t>Critère</w:t>
      </w:r>
      <w:r w:rsidR="0019609C" w:rsidRPr="004B36A0">
        <w:rPr>
          <w:rFonts w:ascii="Segoe UI Semilight" w:hAnsi="Segoe UI Semilight" w:cs="Segoe UI Semilight"/>
          <w:b/>
          <w:bCs/>
          <w:sz w:val="20"/>
          <w:szCs w:val="20"/>
        </w:rPr>
        <w:t xml:space="preserve"> principale</w:t>
      </w:r>
    </w:p>
    <w:p w14:paraId="40379902" w14:textId="77777777" w:rsidR="004B36A0" w:rsidRDefault="0019609C" w:rsidP="0019609C">
      <w:pPr>
        <w:rPr>
          <w:rFonts w:ascii="Segoe UI Semilight" w:hAnsi="Segoe UI Semilight" w:cs="Segoe UI Semilight"/>
          <w:sz w:val="20"/>
          <w:szCs w:val="20"/>
        </w:rPr>
      </w:pPr>
      <w:r w:rsidRPr="0019609C">
        <w:rPr>
          <w:rFonts w:ascii="Segoe UI Semilight" w:hAnsi="Segoe UI Semilight" w:cs="Segoe UI Semilight"/>
          <w:sz w:val="20"/>
          <w:szCs w:val="20"/>
        </w:rPr>
        <w:t>Comparativement aux périodes sans traitement par agonistes des récepteurs du GLP-1 :</w:t>
      </w:r>
    </w:p>
    <w:p w14:paraId="629F550D" w14:textId="5D0B1177" w:rsidR="004B36A0" w:rsidRPr="005F282D" w:rsidRDefault="00D528D4" w:rsidP="004B36A0">
      <w:pPr>
        <w:pStyle w:val="Paragraphedeliste"/>
        <w:numPr>
          <w:ilvl w:val="0"/>
          <w:numId w:val="16"/>
        </w:numPr>
        <w:rPr>
          <w:rFonts w:ascii="Segoe UI Semilight" w:hAnsi="Segoe UI Semilight" w:cs="Segoe UI Semilight"/>
          <w:sz w:val="20"/>
          <w:szCs w:val="20"/>
        </w:rPr>
      </w:pPr>
      <w:r w:rsidRPr="005F282D">
        <w:rPr>
          <w:rFonts w:ascii="Segoe UI Semilight" w:hAnsi="Segoe UI Semilight" w:cs="Segoe UI Semilight"/>
          <w:sz w:val="20"/>
          <w:szCs w:val="20"/>
        </w:rPr>
        <w:t>Le</w:t>
      </w:r>
      <w:r w:rsidR="0019609C" w:rsidRPr="005F282D">
        <w:rPr>
          <w:rFonts w:ascii="Segoe UI Semilight" w:hAnsi="Segoe UI Semilight" w:cs="Segoe UI Semilight"/>
          <w:sz w:val="20"/>
          <w:szCs w:val="20"/>
        </w:rPr>
        <w:t xml:space="preserve"> sémaglutide était associé à une diminution significative du risque d’aggravation des troubles mentaux (HRa = 0,58),</w:t>
      </w:r>
    </w:p>
    <w:p w14:paraId="11E99DBD" w14:textId="6ED648E5" w:rsidR="004B36A0" w:rsidRPr="005F282D" w:rsidRDefault="00D528D4" w:rsidP="004B36A0">
      <w:pPr>
        <w:pStyle w:val="Paragraphedeliste"/>
        <w:numPr>
          <w:ilvl w:val="0"/>
          <w:numId w:val="16"/>
        </w:numPr>
        <w:rPr>
          <w:rFonts w:ascii="Segoe UI Semilight" w:hAnsi="Segoe UI Semilight" w:cs="Segoe UI Semilight"/>
          <w:sz w:val="20"/>
          <w:szCs w:val="20"/>
        </w:rPr>
      </w:pPr>
      <w:r w:rsidRPr="005F282D">
        <w:rPr>
          <w:rFonts w:ascii="Segoe UI Semilight" w:hAnsi="Segoe UI Semilight" w:cs="Segoe UI Semilight"/>
          <w:sz w:val="20"/>
          <w:szCs w:val="20"/>
        </w:rPr>
        <w:t>Le</w:t>
      </w:r>
      <w:r w:rsidR="0019609C" w:rsidRPr="005F282D">
        <w:rPr>
          <w:rFonts w:ascii="Segoe UI Semilight" w:hAnsi="Segoe UI Semilight" w:cs="Segoe UI Semilight"/>
          <w:sz w:val="20"/>
          <w:szCs w:val="20"/>
        </w:rPr>
        <w:t xml:space="preserve"> </w:t>
      </w:r>
      <w:proofErr w:type="spellStart"/>
      <w:r w:rsidR="0019609C" w:rsidRPr="005F282D">
        <w:rPr>
          <w:rFonts w:ascii="Segoe UI Semilight" w:hAnsi="Segoe UI Semilight" w:cs="Segoe UI Semilight"/>
          <w:sz w:val="20"/>
          <w:szCs w:val="20"/>
        </w:rPr>
        <w:t>liraglutide</w:t>
      </w:r>
      <w:proofErr w:type="spellEnd"/>
      <w:r w:rsidR="0019609C" w:rsidRPr="005F282D">
        <w:rPr>
          <w:rFonts w:ascii="Segoe UI Semilight" w:hAnsi="Segoe UI Semilight" w:cs="Segoe UI Semilight"/>
          <w:sz w:val="20"/>
          <w:szCs w:val="20"/>
        </w:rPr>
        <w:t xml:space="preserve"> montrait une réduction plus modérée (HRa = 0,82),</w:t>
      </w:r>
    </w:p>
    <w:p w14:paraId="58AF17A1" w14:textId="6EE1D5AA" w:rsidR="0019609C" w:rsidRPr="005F282D" w:rsidRDefault="00D528D4" w:rsidP="004B36A0">
      <w:pPr>
        <w:pStyle w:val="Paragraphedeliste"/>
        <w:numPr>
          <w:ilvl w:val="0"/>
          <w:numId w:val="16"/>
        </w:numPr>
        <w:rPr>
          <w:rFonts w:ascii="Segoe UI Semilight" w:hAnsi="Segoe UI Semilight" w:cs="Segoe UI Semilight"/>
          <w:sz w:val="20"/>
          <w:szCs w:val="20"/>
        </w:rPr>
      </w:pPr>
      <w:r w:rsidRPr="005F282D">
        <w:rPr>
          <w:rFonts w:ascii="Segoe UI Semilight" w:hAnsi="Segoe UI Semilight" w:cs="Segoe UI Semilight"/>
          <w:sz w:val="20"/>
          <w:szCs w:val="20"/>
        </w:rPr>
        <w:t>Aucune</w:t>
      </w:r>
      <w:r w:rsidR="0019609C" w:rsidRPr="005F282D">
        <w:rPr>
          <w:rFonts w:ascii="Segoe UI Semilight" w:hAnsi="Segoe UI Semilight" w:cs="Segoe UI Semilight"/>
          <w:sz w:val="20"/>
          <w:szCs w:val="20"/>
        </w:rPr>
        <w:t xml:space="preserve"> association significative n’était observée pour l’exénatide (HRa = 1,01) ni le dulaglutide (HRa = 1,01).</w:t>
      </w:r>
    </w:p>
    <w:p w14:paraId="0FAE7557" w14:textId="45D8ABCF" w:rsidR="005F282D" w:rsidRDefault="0019609C" w:rsidP="005F282D">
      <w:pPr>
        <w:rPr>
          <w:rFonts w:ascii="Segoe UI Semilight" w:hAnsi="Segoe UI Semilight" w:cs="Segoe UI Semilight"/>
          <w:sz w:val="20"/>
          <w:szCs w:val="20"/>
        </w:rPr>
      </w:pPr>
      <w:r w:rsidRPr="0019609C">
        <w:rPr>
          <w:rFonts w:ascii="Segoe UI Semilight" w:hAnsi="Segoe UI Semilight" w:cs="Segoe UI Semilight"/>
          <w:sz w:val="20"/>
          <w:szCs w:val="20"/>
        </w:rPr>
        <w:t>Chez les patients ayant reçu plusieurs agonistes des récepteurs du GLP-</w:t>
      </w:r>
      <w:r w:rsidR="007C3D5B" w:rsidRPr="0019609C">
        <w:rPr>
          <w:rFonts w:ascii="Segoe UI Semilight" w:hAnsi="Segoe UI Semilight" w:cs="Segoe UI Semilight"/>
          <w:sz w:val="20"/>
          <w:szCs w:val="20"/>
        </w:rPr>
        <w:t>1 :</w:t>
      </w:r>
      <w:r w:rsidR="005F282D">
        <w:rPr>
          <w:rFonts w:ascii="Segoe UI Semilight" w:hAnsi="Segoe UI Semilight" w:cs="Segoe UI Semilight"/>
          <w:sz w:val="20"/>
          <w:szCs w:val="20"/>
        </w:rPr>
        <w:t xml:space="preserve"> </w:t>
      </w:r>
      <w:r w:rsidRPr="005F282D">
        <w:rPr>
          <w:rFonts w:ascii="Segoe UI Semilight" w:hAnsi="Segoe UI Semilight" w:cs="Segoe UI Semilight"/>
          <w:sz w:val="20"/>
          <w:szCs w:val="20"/>
        </w:rPr>
        <w:t>le sémaglutide était associé à un risque plus faible que les autres molécules (HRa = 0,67).</w:t>
      </w:r>
    </w:p>
    <w:p w14:paraId="0409BE54" w14:textId="767E4ED1" w:rsidR="0019609C" w:rsidRPr="005F282D" w:rsidRDefault="0019609C" w:rsidP="002C7ED7">
      <w:pPr>
        <w:rPr>
          <w:rFonts w:ascii="Segoe UI Semilight" w:hAnsi="Segoe UI Semilight" w:cs="Segoe UI Semilight"/>
          <w:sz w:val="20"/>
          <w:szCs w:val="20"/>
        </w:rPr>
      </w:pPr>
      <w:r w:rsidRPr="0019609C">
        <w:rPr>
          <w:rFonts w:ascii="Segoe UI Semilight" w:hAnsi="Segoe UI Semilight" w:cs="Segoe UI Semilight"/>
          <w:sz w:val="20"/>
          <w:szCs w:val="20"/>
        </w:rPr>
        <w:t>Selon le sexe</w:t>
      </w:r>
      <w:r w:rsidR="005F282D">
        <w:rPr>
          <w:rFonts w:ascii="Segoe UI Semilight" w:hAnsi="Segoe UI Semilight" w:cs="Segoe UI Semilight"/>
          <w:sz w:val="20"/>
          <w:szCs w:val="20"/>
        </w:rPr>
        <w:t xml:space="preserve">, les </w:t>
      </w:r>
      <w:r w:rsidRPr="005F282D">
        <w:rPr>
          <w:rFonts w:ascii="Segoe UI Semilight" w:hAnsi="Segoe UI Semilight" w:cs="Segoe UI Semilight"/>
          <w:sz w:val="20"/>
          <w:szCs w:val="20"/>
        </w:rPr>
        <w:t>résultats similaires globalement,</w:t>
      </w:r>
      <w:r w:rsidR="005F282D">
        <w:rPr>
          <w:rFonts w:ascii="Segoe UI Semilight" w:hAnsi="Segoe UI Semilight" w:cs="Segoe UI Semilight"/>
          <w:sz w:val="20"/>
          <w:szCs w:val="20"/>
        </w:rPr>
        <w:t xml:space="preserve"> </w:t>
      </w:r>
      <w:r w:rsidRPr="005F282D">
        <w:rPr>
          <w:rFonts w:ascii="Segoe UI Semilight" w:hAnsi="Segoe UI Semilight" w:cs="Segoe UI Semilight"/>
          <w:sz w:val="20"/>
          <w:szCs w:val="20"/>
        </w:rPr>
        <w:t>sauf pour le liraglutide</w:t>
      </w:r>
      <w:r w:rsidR="005F282D">
        <w:rPr>
          <w:rFonts w:ascii="Segoe UI Semilight" w:hAnsi="Segoe UI Semilight" w:cs="Segoe UI Semilight"/>
          <w:sz w:val="20"/>
          <w:szCs w:val="20"/>
        </w:rPr>
        <w:t xml:space="preserve"> ; </w:t>
      </w:r>
      <w:r w:rsidRPr="005F282D">
        <w:rPr>
          <w:rFonts w:ascii="Segoe UI Semilight" w:hAnsi="Segoe UI Semilight" w:cs="Segoe UI Semilight"/>
          <w:sz w:val="20"/>
          <w:szCs w:val="20"/>
        </w:rPr>
        <w:t>protecteur chez les femmes (HRa = 0,78) mais non significatif chez les hommes (HRa = 0,95).</w:t>
      </w:r>
    </w:p>
    <w:p w14:paraId="7AD5E91C" w14:textId="400A909D" w:rsidR="0019609C" w:rsidRPr="0019609C" w:rsidRDefault="0019609C" w:rsidP="004B36A0">
      <w:pPr>
        <w:jc w:val="center"/>
        <w:rPr>
          <w:rFonts w:ascii="Segoe UI Semilight" w:hAnsi="Segoe UI Semilight" w:cs="Segoe UI Semilight"/>
          <w:sz w:val="20"/>
          <w:szCs w:val="20"/>
        </w:rPr>
      </w:pPr>
      <w:r w:rsidRPr="0044727D">
        <w:rPr>
          <w:rFonts w:ascii="Segoe UI Semilight" w:hAnsi="Segoe UI Semilight" w:cs="Segoe UI Semilight"/>
          <w:noProof/>
          <w:sz w:val="20"/>
          <w:szCs w:val="20"/>
        </w:rPr>
        <w:drawing>
          <wp:inline distT="0" distB="0" distL="0" distR="0" wp14:anchorId="705AA329" wp14:editId="5B97AF45">
            <wp:extent cx="4876800" cy="2433024"/>
            <wp:effectExtent l="133350" t="114300" r="133350" b="158115"/>
            <wp:docPr id="18668132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81326" name=""/>
                    <pic:cNvPicPr/>
                  </pic:nvPicPr>
                  <pic:blipFill>
                    <a:blip r:embed="rId5"/>
                    <a:stretch>
                      <a:fillRect/>
                    </a:stretch>
                  </pic:blipFill>
                  <pic:spPr>
                    <a:xfrm>
                      <a:off x="0" y="0"/>
                      <a:ext cx="4909914" cy="2449544"/>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7C7F6F45" w14:textId="072340A6" w:rsidR="0019609C" w:rsidRPr="004B36A0" w:rsidRDefault="0019609C" w:rsidP="004B36A0">
      <w:pPr>
        <w:pStyle w:val="Paragraphedeliste"/>
        <w:numPr>
          <w:ilvl w:val="1"/>
          <w:numId w:val="12"/>
        </w:numPr>
        <w:ind w:left="709"/>
        <w:rPr>
          <w:rFonts w:ascii="Segoe UI Semilight" w:hAnsi="Segoe UI Semilight" w:cs="Segoe UI Semilight"/>
          <w:b/>
          <w:bCs/>
          <w:sz w:val="20"/>
          <w:szCs w:val="20"/>
        </w:rPr>
      </w:pPr>
      <w:r w:rsidRPr="004B36A0">
        <w:rPr>
          <w:rFonts w:ascii="Segoe UI Semilight" w:hAnsi="Segoe UI Semilight" w:cs="Segoe UI Semilight"/>
          <w:b/>
          <w:bCs/>
          <w:sz w:val="20"/>
          <w:szCs w:val="20"/>
        </w:rPr>
        <w:t>Critères secondaires</w:t>
      </w:r>
    </w:p>
    <w:p w14:paraId="6524A105" w14:textId="77777777" w:rsidR="005F282D" w:rsidRDefault="0019609C" w:rsidP="0019609C">
      <w:pPr>
        <w:rPr>
          <w:rFonts w:ascii="Segoe UI Semilight" w:hAnsi="Segoe UI Semilight" w:cs="Segoe UI Semilight"/>
          <w:sz w:val="20"/>
          <w:szCs w:val="20"/>
        </w:rPr>
      </w:pPr>
      <w:r w:rsidRPr="0019609C">
        <w:rPr>
          <w:rFonts w:ascii="Segoe UI Semilight" w:hAnsi="Segoe UI Semilight" w:cs="Segoe UI Semilight"/>
          <w:sz w:val="20"/>
          <w:szCs w:val="20"/>
        </w:rPr>
        <w:t>Le sémaglutide était associé à :</w:t>
      </w:r>
    </w:p>
    <w:p w14:paraId="22D06458" w14:textId="3F793546" w:rsidR="005F282D" w:rsidRDefault="006A666D" w:rsidP="005F282D">
      <w:pPr>
        <w:pStyle w:val="Paragraphedeliste"/>
        <w:numPr>
          <w:ilvl w:val="0"/>
          <w:numId w:val="18"/>
        </w:numPr>
        <w:rPr>
          <w:rFonts w:ascii="Segoe UI Semilight" w:hAnsi="Segoe UI Semilight" w:cs="Segoe UI Semilight"/>
          <w:sz w:val="20"/>
          <w:szCs w:val="20"/>
        </w:rPr>
      </w:pPr>
      <w:r w:rsidRPr="005F282D">
        <w:rPr>
          <w:rFonts w:ascii="Segoe UI Semilight" w:hAnsi="Segoe UI Semilight" w:cs="Segoe UI Semilight"/>
          <w:sz w:val="20"/>
          <w:szCs w:val="20"/>
        </w:rPr>
        <w:lastRenderedPageBreak/>
        <w:t>Une</w:t>
      </w:r>
      <w:r w:rsidR="0019609C" w:rsidRPr="005F282D">
        <w:rPr>
          <w:rFonts w:ascii="Segoe UI Semilight" w:hAnsi="Segoe UI Semilight" w:cs="Segoe UI Semilight"/>
          <w:sz w:val="20"/>
          <w:szCs w:val="20"/>
        </w:rPr>
        <w:t xml:space="preserve"> réduction de l’aggravation de la dépression (HRa = 0,56),</w:t>
      </w:r>
    </w:p>
    <w:p w14:paraId="3FE8D2FA" w14:textId="436BE768" w:rsidR="005F282D" w:rsidRDefault="006A666D" w:rsidP="005F282D">
      <w:pPr>
        <w:pStyle w:val="Paragraphedeliste"/>
        <w:numPr>
          <w:ilvl w:val="0"/>
          <w:numId w:val="18"/>
        </w:numPr>
        <w:rPr>
          <w:rFonts w:ascii="Segoe UI Semilight" w:hAnsi="Segoe UI Semilight" w:cs="Segoe UI Semilight"/>
          <w:sz w:val="20"/>
          <w:szCs w:val="20"/>
        </w:rPr>
      </w:pPr>
      <w:r w:rsidRPr="005F282D">
        <w:rPr>
          <w:rFonts w:ascii="Segoe UI Semilight" w:hAnsi="Segoe UI Semilight" w:cs="Segoe UI Semilight"/>
          <w:sz w:val="20"/>
          <w:szCs w:val="20"/>
        </w:rPr>
        <w:t>Une</w:t>
      </w:r>
      <w:r w:rsidR="0019609C" w:rsidRPr="005F282D">
        <w:rPr>
          <w:rFonts w:ascii="Segoe UI Semilight" w:hAnsi="Segoe UI Semilight" w:cs="Segoe UI Semilight"/>
          <w:sz w:val="20"/>
          <w:szCs w:val="20"/>
        </w:rPr>
        <w:t xml:space="preserve"> réduction de l’aggravation de l’anxiété (HRa = 0,62),</w:t>
      </w:r>
    </w:p>
    <w:p w14:paraId="3FDC97E9" w14:textId="1FD47053" w:rsidR="0019609C" w:rsidRPr="005F282D" w:rsidRDefault="006A666D" w:rsidP="005F282D">
      <w:pPr>
        <w:pStyle w:val="Paragraphedeliste"/>
        <w:numPr>
          <w:ilvl w:val="0"/>
          <w:numId w:val="18"/>
        </w:numPr>
        <w:rPr>
          <w:rFonts w:ascii="Segoe UI Semilight" w:hAnsi="Segoe UI Semilight" w:cs="Segoe UI Semilight"/>
          <w:sz w:val="20"/>
          <w:szCs w:val="20"/>
        </w:rPr>
      </w:pPr>
      <w:r w:rsidRPr="005F282D">
        <w:rPr>
          <w:rFonts w:ascii="Segoe UI Semilight" w:hAnsi="Segoe UI Semilight" w:cs="Segoe UI Semilight"/>
          <w:sz w:val="20"/>
          <w:szCs w:val="20"/>
        </w:rPr>
        <w:t>Une</w:t>
      </w:r>
      <w:r w:rsidR="0019609C" w:rsidRPr="005F282D">
        <w:rPr>
          <w:rFonts w:ascii="Segoe UI Semilight" w:hAnsi="Segoe UI Semilight" w:cs="Segoe UI Semilight"/>
          <w:sz w:val="20"/>
          <w:szCs w:val="20"/>
        </w:rPr>
        <w:t xml:space="preserve"> réduction des troubles liés à l’usage de substances (HRa = 0,53).</w:t>
      </w:r>
    </w:p>
    <w:p w14:paraId="0CBCAA94" w14:textId="35FF11E9" w:rsidR="0019609C" w:rsidRPr="0019609C" w:rsidRDefault="0019609C" w:rsidP="005F282D">
      <w:pPr>
        <w:rPr>
          <w:rFonts w:ascii="Segoe UI Semilight" w:hAnsi="Segoe UI Semilight" w:cs="Segoe UI Semilight"/>
          <w:sz w:val="20"/>
          <w:szCs w:val="20"/>
        </w:rPr>
      </w:pPr>
      <w:r w:rsidRPr="0019609C">
        <w:rPr>
          <w:rFonts w:ascii="Segoe UI Semilight" w:hAnsi="Segoe UI Semilight" w:cs="Segoe UI Semilight"/>
          <w:sz w:val="20"/>
          <w:szCs w:val="20"/>
        </w:rPr>
        <w:t>Le liraglutide était associé à une réduction de l’aggravation de la dépression uniquement (HRa = 0,74).</w:t>
      </w:r>
    </w:p>
    <w:p w14:paraId="3CE89694" w14:textId="72749894" w:rsidR="0019609C" w:rsidRPr="0019609C" w:rsidRDefault="0019609C" w:rsidP="0019609C">
      <w:pPr>
        <w:rPr>
          <w:rFonts w:ascii="Segoe UI Semilight" w:hAnsi="Segoe UI Semilight" w:cs="Segoe UI Semilight"/>
          <w:sz w:val="20"/>
          <w:szCs w:val="20"/>
        </w:rPr>
      </w:pPr>
      <w:r w:rsidRPr="0019609C">
        <w:rPr>
          <w:rFonts w:ascii="Segoe UI Semilight" w:hAnsi="Segoe UI Semilight" w:cs="Segoe UI Semilight"/>
          <w:sz w:val="20"/>
          <w:szCs w:val="20"/>
        </w:rPr>
        <w:t>À l’échelle de la classe des agonistes GLP-1 :</w:t>
      </w:r>
      <w:r w:rsidR="005F282D">
        <w:rPr>
          <w:rFonts w:ascii="Segoe UI Semilight" w:hAnsi="Segoe UI Semilight" w:cs="Segoe UI Semilight"/>
          <w:sz w:val="20"/>
          <w:szCs w:val="20"/>
        </w:rPr>
        <w:t xml:space="preserve"> </w:t>
      </w:r>
      <w:r w:rsidRPr="0019609C">
        <w:rPr>
          <w:rFonts w:ascii="Segoe UI Semilight" w:hAnsi="Segoe UI Semilight" w:cs="Segoe UI Semilight"/>
          <w:sz w:val="20"/>
          <w:szCs w:val="20"/>
        </w:rPr>
        <w:t>diminution du risque d’auto-agression (HRa = 0,56).</w:t>
      </w:r>
    </w:p>
    <w:p w14:paraId="41E5890D" w14:textId="0370562F" w:rsidR="0019609C" w:rsidRPr="0019609C" w:rsidRDefault="0019609C" w:rsidP="0019609C">
      <w:pPr>
        <w:rPr>
          <w:rFonts w:ascii="Segoe UI Semilight" w:hAnsi="Segoe UI Semilight" w:cs="Segoe UI Semilight"/>
          <w:sz w:val="20"/>
          <w:szCs w:val="20"/>
        </w:rPr>
      </w:pPr>
      <w:r w:rsidRPr="0019609C">
        <w:rPr>
          <w:rFonts w:ascii="Segoe UI Semilight" w:hAnsi="Segoe UI Semilight" w:cs="Segoe UI Semilight"/>
          <w:sz w:val="20"/>
          <w:szCs w:val="20"/>
        </w:rPr>
        <w:t>Concernant la mortalité :</w:t>
      </w:r>
      <w:r w:rsidR="005F282D">
        <w:rPr>
          <w:rFonts w:ascii="Segoe UI Semilight" w:hAnsi="Segoe UI Semilight" w:cs="Segoe UI Semilight"/>
          <w:sz w:val="20"/>
          <w:szCs w:val="20"/>
        </w:rPr>
        <w:t xml:space="preserve"> </w:t>
      </w:r>
      <w:r w:rsidRPr="0019609C">
        <w:rPr>
          <w:rFonts w:ascii="Segoe UI Semilight" w:hAnsi="Segoe UI Semilight" w:cs="Segoe UI Semilight"/>
          <w:sz w:val="20"/>
          <w:szCs w:val="20"/>
        </w:rPr>
        <w:t>171 suicides ont été recensés,</w:t>
      </w:r>
      <w:r w:rsidR="005F282D">
        <w:rPr>
          <w:rFonts w:ascii="Segoe UI Semilight" w:hAnsi="Segoe UI Semilight" w:cs="Segoe UI Semilight"/>
          <w:sz w:val="20"/>
          <w:szCs w:val="20"/>
        </w:rPr>
        <w:t xml:space="preserve"> </w:t>
      </w:r>
      <w:r w:rsidRPr="0019609C">
        <w:rPr>
          <w:rFonts w:ascii="Segoe UI Semilight" w:hAnsi="Segoe UI Semilight" w:cs="Segoe UI Semilight"/>
          <w:sz w:val="20"/>
          <w:szCs w:val="20"/>
        </w:rPr>
        <w:t>dont un seul sous exposition aux GLP-1 (0,2 % du critère principal).</w:t>
      </w:r>
    </w:p>
    <w:p w14:paraId="1DC79709" w14:textId="22F6E1B6" w:rsidR="0019609C" w:rsidRPr="005F282D" w:rsidRDefault="0019609C" w:rsidP="005F282D">
      <w:pPr>
        <w:pStyle w:val="Paragraphedeliste"/>
        <w:numPr>
          <w:ilvl w:val="1"/>
          <w:numId w:val="12"/>
        </w:numPr>
        <w:ind w:left="709"/>
        <w:rPr>
          <w:rFonts w:ascii="Segoe UI Semilight" w:hAnsi="Segoe UI Semilight" w:cs="Segoe UI Semilight"/>
          <w:b/>
          <w:bCs/>
          <w:sz w:val="20"/>
          <w:szCs w:val="20"/>
        </w:rPr>
      </w:pPr>
      <w:r w:rsidRPr="005F282D">
        <w:rPr>
          <w:rFonts w:ascii="Segoe UI Semilight" w:hAnsi="Segoe UI Semilight" w:cs="Segoe UI Semilight"/>
          <w:b/>
          <w:bCs/>
          <w:sz w:val="20"/>
          <w:szCs w:val="20"/>
        </w:rPr>
        <w:t>Analyses spécifiques du critère principal</w:t>
      </w:r>
    </w:p>
    <w:p w14:paraId="0CF9E98C" w14:textId="4830605A" w:rsidR="0019609C" w:rsidRPr="0019609C" w:rsidRDefault="0019609C" w:rsidP="00AA1A66">
      <w:pPr>
        <w:rPr>
          <w:rFonts w:ascii="Segoe UI Semilight" w:hAnsi="Segoe UI Semilight" w:cs="Segoe UI Semilight"/>
          <w:sz w:val="20"/>
          <w:szCs w:val="20"/>
        </w:rPr>
      </w:pPr>
      <w:r w:rsidRPr="0019609C">
        <w:rPr>
          <w:rFonts w:ascii="Segoe UI Semilight" w:hAnsi="Segoe UI Semilight" w:cs="Segoe UI Semilight"/>
          <w:sz w:val="20"/>
          <w:szCs w:val="20"/>
        </w:rPr>
        <w:t>Lorsque limité aux hospitalisations</w:t>
      </w:r>
      <w:r w:rsidR="00AA1A66" w:rsidRPr="00AA1A66">
        <w:t xml:space="preserve"> </w:t>
      </w:r>
      <w:r w:rsidR="00AA1A66" w:rsidRPr="00AA1A66">
        <w:rPr>
          <w:rFonts w:ascii="Segoe UI Semilight" w:hAnsi="Segoe UI Semilight" w:cs="Segoe UI Semilight"/>
          <w:sz w:val="20"/>
          <w:szCs w:val="20"/>
        </w:rPr>
        <w:t xml:space="preserve">psychiatriques ou pour </w:t>
      </w:r>
      <w:proofErr w:type="spellStart"/>
      <w:r w:rsidR="00AA1A66" w:rsidRPr="00AA1A66">
        <w:rPr>
          <w:rFonts w:ascii="Segoe UI Semilight" w:hAnsi="Segoe UI Semilight" w:cs="Segoe UI Semilight"/>
          <w:sz w:val="20"/>
          <w:szCs w:val="20"/>
        </w:rPr>
        <w:t>auto-agression</w:t>
      </w:r>
      <w:proofErr w:type="spellEnd"/>
      <w:r w:rsidRPr="0019609C">
        <w:rPr>
          <w:rFonts w:ascii="Segoe UI Semilight" w:hAnsi="Segoe UI Semilight" w:cs="Segoe UI Semilight"/>
          <w:sz w:val="20"/>
          <w:szCs w:val="20"/>
        </w:rPr>
        <w:t xml:space="preserve"> :</w:t>
      </w:r>
      <w:r w:rsidR="005F282D">
        <w:rPr>
          <w:rFonts w:ascii="Segoe UI Semilight" w:hAnsi="Segoe UI Semilight" w:cs="Segoe UI Semilight"/>
          <w:sz w:val="20"/>
          <w:szCs w:val="20"/>
        </w:rPr>
        <w:t xml:space="preserve"> </w:t>
      </w:r>
      <w:r w:rsidRPr="0019609C">
        <w:rPr>
          <w:rFonts w:ascii="Segoe UI Semilight" w:hAnsi="Segoe UI Semilight" w:cs="Segoe UI Semilight"/>
          <w:sz w:val="20"/>
          <w:szCs w:val="20"/>
        </w:rPr>
        <w:t>le sémaglutide restait protecteur (HRa = 0,72 ; IC 95 % : 0,59–0,89).</w:t>
      </w:r>
    </w:p>
    <w:p w14:paraId="1E53E0AE" w14:textId="77777777" w:rsidR="005F282D" w:rsidRPr="005F282D" w:rsidRDefault="0019609C" w:rsidP="005F282D">
      <w:pPr>
        <w:spacing w:after="0"/>
        <w:rPr>
          <w:rFonts w:ascii="Segoe UI Semilight" w:hAnsi="Segoe UI Semilight" w:cs="Segoe UI Semilight"/>
          <w:sz w:val="20"/>
          <w:szCs w:val="20"/>
        </w:rPr>
      </w:pPr>
      <w:r w:rsidRPr="005F282D">
        <w:rPr>
          <w:rFonts w:ascii="Segoe UI Semilight" w:hAnsi="Segoe UI Semilight" w:cs="Segoe UI Semilight"/>
          <w:sz w:val="20"/>
          <w:szCs w:val="20"/>
        </w:rPr>
        <w:t xml:space="preserve">Lorsque limité aux arrêts de travail </w:t>
      </w:r>
    </w:p>
    <w:p w14:paraId="223149BB" w14:textId="136A73DC" w:rsidR="005F282D" w:rsidRDefault="006A666D" w:rsidP="005F282D">
      <w:pPr>
        <w:pStyle w:val="Paragraphedeliste"/>
        <w:numPr>
          <w:ilvl w:val="0"/>
          <w:numId w:val="19"/>
        </w:numPr>
        <w:rPr>
          <w:rFonts w:ascii="Segoe UI Semilight" w:hAnsi="Segoe UI Semilight" w:cs="Segoe UI Semilight"/>
          <w:sz w:val="20"/>
          <w:szCs w:val="20"/>
        </w:rPr>
      </w:pPr>
      <w:r w:rsidRPr="005F282D">
        <w:rPr>
          <w:rFonts w:ascii="Segoe UI Semilight" w:hAnsi="Segoe UI Semilight" w:cs="Segoe UI Semilight"/>
          <w:sz w:val="20"/>
          <w:szCs w:val="20"/>
        </w:rPr>
        <w:t>Sémaglutide</w:t>
      </w:r>
      <w:r w:rsidR="0019609C" w:rsidRPr="005F282D">
        <w:rPr>
          <w:rFonts w:ascii="Segoe UI Semilight" w:hAnsi="Segoe UI Semilight" w:cs="Segoe UI Semilight"/>
          <w:sz w:val="20"/>
          <w:szCs w:val="20"/>
        </w:rPr>
        <w:t xml:space="preserve"> : </w:t>
      </w:r>
      <w:proofErr w:type="spellStart"/>
      <w:r w:rsidR="0019609C" w:rsidRPr="005F282D">
        <w:rPr>
          <w:rFonts w:ascii="Segoe UI Semilight" w:hAnsi="Segoe UI Semilight" w:cs="Segoe UI Semilight"/>
          <w:sz w:val="20"/>
          <w:szCs w:val="20"/>
        </w:rPr>
        <w:t>HRa</w:t>
      </w:r>
      <w:proofErr w:type="spellEnd"/>
      <w:r w:rsidR="0019609C" w:rsidRPr="005F282D">
        <w:rPr>
          <w:rFonts w:ascii="Segoe UI Semilight" w:hAnsi="Segoe UI Semilight" w:cs="Segoe UI Semilight"/>
          <w:sz w:val="20"/>
          <w:szCs w:val="20"/>
        </w:rPr>
        <w:t xml:space="preserve"> = 0,55,</w:t>
      </w:r>
    </w:p>
    <w:p w14:paraId="67983AB0" w14:textId="4D0B745B" w:rsidR="005F282D" w:rsidRPr="006A666D" w:rsidRDefault="006A666D" w:rsidP="006A666D">
      <w:pPr>
        <w:pStyle w:val="Paragraphedeliste"/>
        <w:numPr>
          <w:ilvl w:val="0"/>
          <w:numId w:val="19"/>
        </w:numPr>
        <w:rPr>
          <w:rFonts w:ascii="Segoe UI Semilight" w:hAnsi="Segoe UI Semilight" w:cs="Segoe UI Semilight"/>
          <w:sz w:val="20"/>
          <w:szCs w:val="20"/>
        </w:rPr>
      </w:pPr>
      <w:proofErr w:type="spellStart"/>
      <w:r w:rsidRPr="005F282D">
        <w:rPr>
          <w:rFonts w:ascii="Segoe UI Semilight" w:hAnsi="Segoe UI Semilight" w:cs="Segoe UI Semilight"/>
          <w:sz w:val="20"/>
          <w:szCs w:val="20"/>
        </w:rPr>
        <w:t>Liraglutide</w:t>
      </w:r>
      <w:proofErr w:type="spellEnd"/>
      <w:r w:rsidR="0019609C" w:rsidRPr="005F282D">
        <w:rPr>
          <w:rFonts w:ascii="Segoe UI Semilight" w:hAnsi="Segoe UI Semilight" w:cs="Segoe UI Semilight"/>
          <w:sz w:val="20"/>
          <w:szCs w:val="20"/>
        </w:rPr>
        <w:t xml:space="preserve"> : </w:t>
      </w:r>
      <w:proofErr w:type="spellStart"/>
      <w:r w:rsidR="0019609C" w:rsidRPr="005F282D">
        <w:rPr>
          <w:rFonts w:ascii="Segoe UI Semilight" w:hAnsi="Segoe UI Semilight" w:cs="Segoe UI Semilight"/>
          <w:sz w:val="20"/>
          <w:szCs w:val="20"/>
        </w:rPr>
        <w:t>HRa</w:t>
      </w:r>
      <w:proofErr w:type="spellEnd"/>
      <w:r w:rsidR="0019609C" w:rsidRPr="005F282D">
        <w:rPr>
          <w:rFonts w:ascii="Segoe UI Semilight" w:hAnsi="Segoe UI Semilight" w:cs="Segoe UI Semilight"/>
          <w:sz w:val="20"/>
          <w:szCs w:val="20"/>
        </w:rPr>
        <w:t xml:space="preserve"> = 0,88.</w:t>
      </w:r>
    </w:p>
    <w:p w14:paraId="230C8B7D" w14:textId="40491A79" w:rsidR="0019609C" w:rsidRPr="005F282D" w:rsidRDefault="0019609C" w:rsidP="005F282D">
      <w:pPr>
        <w:pStyle w:val="Paragraphedeliste"/>
        <w:numPr>
          <w:ilvl w:val="1"/>
          <w:numId w:val="12"/>
        </w:numPr>
        <w:ind w:left="709"/>
        <w:rPr>
          <w:rFonts w:ascii="Segoe UI Semilight" w:hAnsi="Segoe UI Semilight" w:cs="Segoe UI Semilight"/>
          <w:b/>
          <w:bCs/>
          <w:sz w:val="20"/>
          <w:szCs w:val="20"/>
        </w:rPr>
      </w:pPr>
      <w:r w:rsidRPr="005F282D">
        <w:rPr>
          <w:rFonts w:ascii="Segoe UI Semilight" w:hAnsi="Segoe UI Semilight" w:cs="Segoe UI Semilight"/>
          <w:b/>
          <w:bCs/>
          <w:sz w:val="20"/>
          <w:szCs w:val="20"/>
        </w:rPr>
        <w:t>Comparaison avec autres antidiabétiques</w:t>
      </w:r>
    </w:p>
    <w:p w14:paraId="1475372B" w14:textId="77777777" w:rsidR="005F282D" w:rsidRDefault="0019609C" w:rsidP="005F282D">
      <w:pPr>
        <w:spacing w:after="0"/>
        <w:rPr>
          <w:rFonts w:ascii="Segoe UI Semilight" w:hAnsi="Segoe UI Semilight" w:cs="Segoe UI Semilight"/>
          <w:sz w:val="20"/>
          <w:szCs w:val="20"/>
        </w:rPr>
      </w:pPr>
      <w:r w:rsidRPr="0019609C">
        <w:rPr>
          <w:rFonts w:ascii="Segoe UI Semilight" w:hAnsi="Segoe UI Semilight" w:cs="Segoe UI Semilight"/>
          <w:sz w:val="20"/>
          <w:szCs w:val="20"/>
        </w:rPr>
        <w:t>Les traitements les plus utilisés étaient :</w:t>
      </w:r>
    </w:p>
    <w:p w14:paraId="01760470" w14:textId="015CB418" w:rsidR="005F282D" w:rsidRDefault="006A666D" w:rsidP="00E50F33">
      <w:pPr>
        <w:pStyle w:val="Paragraphedeliste"/>
        <w:numPr>
          <w:ilvl w:val="0"/>
          <w:numId w:val="22"/>
        </w:numPr>
        <w:rPr>
          <w:rFonts w:ascii="Segoe UI Semilight" w:hAnsi="Segoe UI Semilight" w:cs="Segoe UI Semilight"/>
          <w:sz w:val="20"/>
          <w:szCs w:val="20"/>
        </w:rPr>
      </w:pPr>
      <w:proofErr w:type="spellStart"/>
      <w:r w:rsidRPr="005F282D">
        <w:rPr>
          <w:rFonts w:ascii="Segoe UI Semilight" w:hAnsi="Segoe UI Semilight" w:cs="Segoe UI Semilight"/>
          <w:sz w:val="20"/>
          <w:szCs w:val="20"/>
        </w:rPr>
        <w:t>Empagliflozine</w:t>
      </w:r>
      <w:proofErr w:type="spellEnd"/>
      <w:r w:rsidR="0019609C" w:rsidRPr="005F282D">
        <w:rPr>
          <w:rFonts w:ascii="Segoe UI Semilight" w:hAnsi="Segoe UI Semilight" w:cs="Segoe UI Semilight"/>
          <w:sz w:val="20"/>
          <w:szCs w:val="20"/>
        </w:rPr>
        <w:t xml:space="preserve"> (12,4 %),</w:t>
      </w:r>
    </w:p>
    <w:p w14:paraId="2A39FE00" w14:textId="2A683AAA" w:rsidR="005F282D" w:rsidRDefault="006A666D" w:rsidP="00E50F33">
      <w:pPr>
        <w:pStyle w:val="Paragraphedeliste"/>
        <w:numPr>
          <w:ilvl w:val="0"/>
          <w:numId w:val="22"/>
        </w:numPr>
        <w:rPr>
          <w:rFonts w:ascii="Segoe UI Semilight" w:hAnsi="Segoe UI Semilight" w:cs="Segoe UI Semilight"/>
          <w:sz w:val="20"/>
          <w:szCs w:val="20"/>
        </w:rPr>
      </w:pPr>
      <w:r w:rsidRPr="005F282D">
        <w:rPr>
          <w:rFonts w:ascii="Segoe UI Semilight" w:hAnsi="Segoe UI Semilight" w:cs="Segoe UI Semilight"/>
          <w:sz w:val="20"/>
          <w:szCs w:val="20"/>
        </w:rPr>
        <w:t>Sémaglutide</w:t>
      </w:r>
      <w:r w:rsidR="0019609C" w:rsidRPr="005F282D">
        <w:rPr>
          <w:rFonts w:ascii="Segoe UI Semilight" w:hAnsi="Segoe UI Semilight" w:cs="Segoe UI Semilight"/>
          <w:sz w:val="20"/>
          <w:szCs w:val="20"/>
        </w:rPr>
        <w:t xml:space="preserve"> (11,5 %),</w:t>
      </w:r>
    </w:p>
    <w:p w14:paraId="636C68EB" w14:textId="2CFB10E7" w:rsidR="005F282D" w:rsidRDefault="006A666D" w:rsidP="00E50F33">
      <w:pPr>
        <w:pStyle w:val="Paragraphedeliste"/>
        <w:numPr>
          <w:ilvl w:val="0"/>
          <w:numId w:val="22"/>
        </w:numPr>
        <w:rPr>
          <w:rFonts w:ascii="Segoe UI Semilight" w:hAnsi="Segoe UI Semilight" w:cs="Segoe UI Semilight"/>
          <w:sz w:val="20"/>
          <w:szCs w:val="20"/>
        </w:rPr>
      </w:pPr>
      <w:proofErr w:type="spellStart"/>
      <w:r w:rsidRPr="005F282D">
        <w:rPr>
          <w:rFonts w:ascii="Segoe UI Semilight" w:hAnsi="Segoe UI Semilight" w:cs="Segoe UI Semilight"/>
          <w:sz w:val="20"/>
          <w:szCs w:val="20"/>
        </w:rPr>
        <w:t>Liraglutide</w:t>
      </w:r>
      <w:proofErr w:type="spellEnd"/>
      <w:r w:rsidR="0019609C" w:rsidRPr="005F282D">
        <w:rPr>
          <w:rFonts w:ascii="Segoe UI Semilight" w:hAnsi="Segoe UI Semilight" w:cs="Segoe UI Semilight"/>
          <w:sz w:val="20"/>
          <w:szCs w:val="20"/>
        </w:rPr>
        <w:t xml:space="preserve"> (10,3 %),</w:t>
      </w:r>
    </w:p>
    <w:p w14:paraId="231A36A3" w14:textId="204A0E73" w:rsidR="005F282D" w:rsidRDefault="006A666D" w:rsidP="00E50F33">
      <w:pPr>
        <w:pStyle w:val="Paragraphedeliste"/>
        <w:numPr>
          <w:ilvl w:val="0"/>
          <w:numId w:val="22"/>
        </w:numPr>
        <w:rPr>
          <w:rFonts w:ascii="Segoe UI Semilight" w:hAnsi="Segoe UI Semilight" w:cs="Segoe UI Semilight"/>
          <w:sz w:val="20"/>
          <w:szCs w:val="20"/>
        </w:rPr>
      </w:pPr>
      <w:r w:rsidRPr="005F282D">
        <w:rPr>
          <w:rFonts w:ascii="Segoe UI Semilight" w:hAnsi="Segoe UI Semilight" w:cs="Segoe UI Semilight"/>
          <w:sz w:val="20"/>
          <w:szCs w:val="20"/>
        </w:rPr>
        <w:t>Sitagliptine</w:t>
      </w:r>
      <w:r w:rsidR="0019609C" w:rsidRPr="005F282D">
        <w:rPr>
          <w:rFonts w:ascii="Segoe UI Semilight" w:hAnsi="Segoe UI Semilight" w:cs="Segoe UI Semilight"/>
          <w:sz w:val="20"/>
          <w:szCs w:val="20"/>
        </w:rPr>
        <w:t xml:space="preserve"> (9,7 %),</w:t>
      </w:r>
    </w:p>
    <w:p w14:paraId="33500A96" w14:textId="5ED46151" w:rsidR="0019609C" w:rsidRPr="005F282D" w:rsidRDefault="006A666D" w:rsidP="00E50F33">
      <w:pPr>
        <w:pStyle w:val="Paragraphedeliste"/>
        <w:numPr>
          <w:ilvl w:val="0"/>
          <w:numId w:val="22"/>
        </w:numPr>
        <w:rPr>
          <w:rFonts w:ascii="Segoe UI Semilight" w:hAnsi="Segoe UI Semilight" w:cs="Segoe UI Semilight"/>
          <w:sz w:val="20"/>
          <w:szCs w:val="20"/>
        </w:rPr>
      </w:pPr>
      <w:r w:rsidRPr="005F282D">
        <w:rPr>
          <w:rFonts w:ascii="Segoe UI Semilight" w:hAnsi="Segoe UI Semilight" w:cs="Segoe UI Semilight"/>
          <w:sz w:val="20"/>
          <w:szCs w:val="20"/>
        </w:rPr>
        <w:t>Dapagliflozine</w:t>
      </w:r>
      <w:r w:rsidR="0019609C" w:rsidRPr="005F282D">
        <w:rPr>
          <w:rFonts w:ascii="Segoe UI Semilight" w:hAnsi="Segoe UI Semilight" w:cs="Segoe UI Semilight"/>
          <w:sz w:val="20"/>
          <w:szCs w:val="20"/>
        </w:rPr>
        <w:t xml:space="preserve"> (4,5 %).</w:t>
      </w:r>
    </w:p>
    <w:p w14:paraId="2E43990F" w14:textId="77777777" w:rsidR="005F282D" w:rsidRDefault="0019609C" w:rsidP="005F282D">
      <w:pPr>
        <w:spacing w:after="0"/>
        <w:rPr>
          <w:rFonts w:ascii="Segoe UI Semilight" w:hAnsi="Segoe UI Semilight" w:cs="Segoe UI Semilight"/>
          <w:sz w:val="20"/>
          <w:szCs w:val="20"/>
        </w:rPr>
      </w:pPr>
      <w:r w:rsidRPr="0019609C">
        <w:rPr>
          <w:rFonts w:ascii="Segoe UI Semilight" w:hAnsi="Segoe UI Semilight" w:cs="Segoe UI Semilight"/>
          <w:sz w:val="20"/>
          <w:szCs w:val="20"/>
        </w:rPr>
        <w:t>Comparativement à l’empagliflozine :</w:t>
      </w:r>
    </w:p>
    <w:p w14:paraId="4DDB397E" w14:textId="4CF59C3F" w:rsidR="005F282D" w:rsidRDefault="006A666D" w:rsidP="00E50F33">
      <w:pPr>
        <w:pStyle w:val="Paragraphedeliste"/>
        <w:numPr>
          <w:ilvl w:val="0"/>
          <w:numId w:val="23"/>
        </w:numPr>
        <w:rPr>
          <w:rFonts w:ascii="Segoe UI Semilight" w:hAnsi="Segoe UI Semilight" w:cs="Segoe UI Semilight"/>
          <w:sz w:val="20"/>
          <w:szCs w:val="20"/>
        </w:rPr>
      </w:pPr>
      <w:r w:rsidRPr="005F282D">
        <w:rPr>
          <w:rFonts w:ascii="Segoe UI Semilight" w:hAnsi="Segoe UI Semilight" w:cs="Segoe UI Semilight"/>
          <w:sz w:val="20"/>
          <w:szCs w:val="20"/>
        </w:rPr>
        <w:t>Sémaglutide</w:t>
      </w:r>
      <w:r w:rsidR="0019609C" w:rsidRPr="005F282D">
        <w:rPr>
          <w:rFonts w:ascii="Segoe UI Semilight" w:hAnsi="Segoe UI Semilight" w:cs="Segoe UI Semilight"/>
          <w:sz w:val="20"/>
          <w:szCs w:val="20"/>
        </w:rPr>
        <w:t xml:space="preserve"> : diminution du risque (HRa = 0,73),</w:t>
      </w:r>
    </w:p>
    <w:p w14:paraId="6E549B05" w14:textId="685D76ED" w:rsidR="005F282D" w:rsidRDefault="006A666D" w:rsidP="00E50F33">
      <w:pPr>
        <w:pStyle w:val="Paragraphedeliste"/>
        <w:numPr>
          <w:ilvl w:val="0"/>
          <w:numId w:val="23"/>
        </w:numPr>
        <w:rPr>
          <w:rFonts w:ascii="Segoe UI Semilight" w:hAnsi="Segoe UI Semilight" w:cs="Segoe UI Semilight"/>
          <w:sz w:val="20"/>
          <w:szCs w:val="20"/>
        </w:rPr>
      </w:pPr>
      <w:r w:rsidRPr="005F282D">
        <w:rPr>
          <w:rFonts w:ascii="Segoe UI Semilight" w:hAnsi="Segoe UI Semilight" w:cs="Segoe UI Semilight"/>
          <w:sz w:val="20"/>
          <w:szCs w:val="20"/>
        </w:rPr>
        <w:t>Dapagliflozine</w:t>
      </w:r>
      <w:r w:rsidR="0019609C" w:rsidRPr="005F282D">
        <w:rPr>
          <w:rFonts w:ascii="Segoe UI Semilight" w:hAnsi="Segoe UI Semilight" w:cs="Segoe UI Semilight"/>
          <w:sz w:val="20"/>
          <w:szCs w:val="20"/>
        </w:rPr>
        <w:t xml:space="preserve"> : augmentation du risque (HRa = 1,24),</w:t>
      </w:r>
    </w:p>
    <w:p w14:paraId="20B2DD9B" w14:textId="299F435B" w:rsidR="0019609C" w:rsidRPr="005F282D" w:rsidRDefault="006A666D" w:rsidP="00E50F33">
      <w:pPr>
        <w:pStyle w:val="Paragraphedeliste"/>
        <w:numPr>
          <w:ilvl w:val="0"/>
          <w:numId w:val="23"/>
        </w:numPr>
        <w:rPr>
          <w:rFonts w:ascii="Segoe UI Semilight" w:hAnsi="Segoe UI Semilight" w:cs="Segoe UI Semilight"/>
          <w:sz w:val="20"/>
          <w:szCs w:val="20"/>
        </w:rPr>
      </w:pPr>
      <w:r w:rsidRPr="005F282D">
        <w:rPr>
          <w:rFonts w:ascii="Segoe UI Semilight" w:hAnsi="Segoe UI Semilight" w:cs="Segoe UI Semilight"/>
          <w:sz w:val="20"/>
          <w:szCs w:val="20"/>
        </w:rPr>
        <w:t>Sitagliptine</w:t>
      </w:r>
      <w:r w:rsidR="0019609C" w:rsidRPr="005F282D">
        <w:rPr>
          <w:rFonts w:ascii="Segoe UI Semilight" w:hAnsi="Segoe UI Semilight" w:cs="Segoe UI Semilight"/>
          <w:sz w:val="20"/>
          <w:szCs w:val="20"/>
        </w:rPr>
        <w:t xml:space="preserve"> : augmentation du risque (HRa = 1,49).</w:t>
      </w:r>
    </w:p>
    <w:p w14:paraId="08EC573B" w14:textId="77777777" w:rsidR="0019609C" w:rsidRPr="0019609C" w:rsidRDefault="0019609C" w:rsidP="0019609C">
      <w:pPr>
        <w:rPr>
          <w:rFonts w:ascii="Segoe UI Semilight" w:hAnsi="Segoe UI Semilight" w:cs="Segoe UI Semilight"/>
          <w:b/>
          <w:bCs/>
          <w:sz w:val="20"/>
          <w:szCs w:val="20"/>
        </w:rPr>
      </w:pPr>
      <w:r w:rsidRPr="0019609C">
        <w:rPr>
          <w:rFonts w:ascii="Segoe UI Semilight" w:hAnsi="Segoe UI Semilight" w:cs="Segoe UI Semilight"/>
          <w:b/>
          <w:bCs/>
          <w:sz w:val="20"/>
          <w:szCs w:val="20"/>
        </w:rPr>
        <w:t>Analyse post hoc</w:t>
      </w:r>
    </w:p>
    <w:p w14:paraId="58CB0D8E" w14:textId="5402F2ED" w:rsidR="005F282D" w:rsidRPr="0044727D" w:rsidRDefault="005F282D" w:rsidP="005F282D">
      <w:pPr>
        <w:rPr>
          <w:rFonts w:ascii="Segoe UI Semilight" w:hAnsi="Segoe UI Semilight" w:cs="Segoe UI Semilight"/>
          <w:sz w:val="20"/>
          <w:szCs w:val="20"/>
        </w:rPr>
      </w:pPr>
      <w:r w:rsidRPr="005F282D">
        <w:rPr>
          <w:rFonts w:ascii="Segoe UI Semilight" w:hAnsi="Segoe UI Semilight" w:cs="Segoe UI Semilight"/>
          <w:sz w:val="20"/>
          <w:szCs w:val="20"/>
        </w:rPr>
        <w:t>Dans une analyse post hoc incluant uniquement les patients recevant un traitement antidiabétique autre qu’un agoniste des récepteurs du GLP-1 à l’entrée dans la cohorte (n = 88 075), les résultats concernant le critère principal étaient comparables à ceux de l’analyse principale, avec un HRa de 0,56 pour le sémaglutide et de 0,83 pour le liraglutide.</w:t>
      </w:r>
    </w:p>
    <w:p w14:paraId="5A2EDFBC" w14:textId="1C95FA94" w:rsidR="00F2329D" w:rsidRPr="00F2329D" w:rsidRDefault="0019609C" w:rsidP="004B36A0">
      <w:pPr>
        <w:jc w:val="center"/>
        <w:rPr>
          <w:rFonts w:ascii="Segoe UI Semilight" w:hAnsi="Segoe UI Semilight" w:cs="Segoe UI Semilight"/>
        </w:rPr>
      </w:pPr>
      <w:r w:rsidRPr="001F4160">
        <w:rPr>
          <w:rFonts w:ascii="Segoe UI Semilight" w:hAnsi="Segoe UI Semilight" w:cs="Segoe UI Semilight"/>
          <w:noProof/>
        </w:rPr>
        <w:lastRenderedPageBreak/>
        <w:drawing>
          <wp:inline distT="0" distB="0" distL="0" distR="0" wp14:anchorId="1A554658" wp14:editId="190291E2">
            <wp:extent cx="5156200" cy="5003310"/>
            <wp:effectExtent l="133350" t="114300" r="120650" b="159385"/>
            <wp:docPr id="167595006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950067" name=""/>
                    <pic:cNvPicPr/>
                  </pic:nvPicPr>
                  <pic:blipFill>
                    <a:blip r:embed="rId6"/>
                    <a:stretch>
                      <a:fillRect/>
                    </a:stretch>
                  </pic:blipFill>
                  <pic:spPr>
                    <a:xfrm>
                      <a:off x="0" y="0"/>
                      <a:ext cx="5168719" cy="5015457"/>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6FCE7787" w14:textId="05D7C727" w:rsidR="00240FCA" w:rsidRPr="00E53E4D" w:rsidRDefault="005F282D" w:rsidP="00240FCA">
      <w:pPr>
        <w:rPr>
          <w:rFonts w:ascii="Segoe UI Semibold" w:hAnsi="Segoe UI Semibold" w:cs="Segoe UI Semibold"/>
          <w:color w:val="EE0000"/>
        </w:rPr>
      </w:pPr>
      <w:r w:rsidRPr="005F282D">
        <w:rPr>
          <w:rFonts w:ascii="Segoe UI Semibold" w:hAnsi="Segoe UI Semibold" w:cs="Segoe UI Semibold"/>
          <w:color w:val="EE0000"/>
        </w:rPr>
        <w:t>DISCUSSION</w:t>
      </w:r>
    </w:p>
    <w:p w14:paraId="47A1CB72" w14:textId="77777777" w:rsidR="005F282D" w:rsidRDefault="00894D3A" w:rsidP="00894D3A">
      <w:pPr>
        <w:rPr>
          <w:rFonts w:ascii="Segoe UI Semilight" w:hAnsi="Segoe UI Semilight" w:cs="Segoe UI Semilight"/>
          <w:sz w:val="20"/>
          <w:szCs w:val="20"/>
        </w:rPr>
      </w:pPr>
      <w:r w:rsidRPr="005F282D">
        <w:rPr>
          <w:rFonts w:ascii="Segoe UI Semilight" w:hAnsi="Segoe UI Semilight" w:cs="Segoe UI Semilight"/>
          <w:sz w:val="20"/>
          <w:szCs w:val="20"/>
        </w:rPr>
        <w:t xml:space="preserve">Cette étude observationnelle, menée sur une période de 14 ans à partir de registres nationaux, suggère une association significative entre l'utilisation de certains agonistes des récepteurs du GLP-1 et une réduction du risque d'aggravation des troubles psychiatriques. Ce risque a été défini de manière composite par les hospitalisations pour troubles mentaux, les épisodes d'automutilation, les arrêts de travail pour motifs psychiatriques ou le suicide. </w:t>
      </w:r>
    </w:p>
    <w:p w14:paraId="1E739863" w14:textId="6D3D1DF7" w:rsidR="00894D3A" w:rsidRPr="00894D3A" w:rsidRDefault="00894D3A" w:rsidP="007C3D5B">
      <w:pPr>
        <w:rPr>
          <w:rFonts w:ascii="Segoe UI Semilight" w:hAnsi="Segoe UI Semilight" w:cs="Segoe UI Semilight"/>
          <w:sz w:val="20"/>
          <w:szCs w:val="20"/>
        </w:rPr>
      </w:pPr>
      <w:r w:rsidRPr="005F282D">
        <w:rPr>
          <w:rFonts w:ascii="Segoe UI Semilight" w:hAnsi="Segoe UI Semilight" w:cs="Segoe UI Semilight"/>
          <w:sz w:val="20"/>
          <w:szCs w:val="20"/>
        </w:rPr>
        <w:t xml:space="preserve">Plus précisément, l'utilisation du </w:t>
      </w:r>
      <w:r w:rsidRPr="005F282D">
        <w:rPr>
          <w:rFonts w:ascii="Segoe UI Semilight" w:hAnsi="Segoe UI Semilight" w:cs="Segoe UI Semilight"/>
          <w:b/>
          <w:bCs/>
          <w:sz w:val="20"/>
          <w:szCs w:val="20"/>
        </w:rPr>
        <w:t>sémaglutide</w:t>
      </w:r>
      <w:r w:rsidRPr="005F282D">
        <w:rPr>
          <w:rFonts w:ascii="Segoe UI Semilight" w:hAnsi="Segoe UI Semilight" w:cs="Segoe UI Semilight"/>
          <w:sz w:val="20"/>
          <w:szCs w:val="20"/>
        </w:rPr>
        <w:t xml:space="preserve"> est associée à une diminution de </w:t>
      </w:r>
      <w:r w:rsidRPr="005F282D">
        <w:rPr>
          <w:rFonts w:ascii="Segoe UI Semilight" w:hAnsi="Segoe UI Semilight" w:cs="Segoe UI Semilight"/>
          <w:b/>
          <w:bCs/>
          <w:sz w:val="20"/>
          <w:szCs w:val="20"/>
        </w:rPr>
        <w:t>42 %</w:t>
      </w:r>
      <w:r w:rsidRPr="005F282D">
        <w:rPr>
          <w:rFonts w:ascii="Segoe UI Semilight" w:hAnsi="Segoe UI Semilight" w:cs="Segoe UI Semilight"/>
          <w:sz w:val="20"/>
          <w:szCs w:val="20"/>
        </w:rPr>
        <w:t xml:space="preserve"> du risque d'aggravation de la pathologie mentale, tandis que le </w:t>
      </w:r>
      <w:r w:rsidRPr="005F282D">
        <w:rPr>
          <w:rFonts w:ascii="Segoe UI Semilight" w:hAnsi="Segoe UI Semilight" w:cs="Segoe UI Semilight"/>
          <w:b/>
          <w:bCs/>
          <w:sz w:val="20"/>
          <w:szCs w:val="20"/>
        </w:rPr>
        <w:t>liraglutide</w:t>
      </w:r>
      <w:r w:rsidRPr="005F282D">
        <w:rPr>
          <w:rFonts w:ascii="Segoe UI Semilight" w:hAnsi="Segoe UI Semilight" w:cs="Segoe UI Semilight"/>
          <w:sz w:val="20"/>
          <w:szCs w:val="20"/>
        </w:rPr>
        <w:t xml:space="preserve"> présente une réduction de </w:t>
      </w:r>
      <w:r w:rsidRPr="005F282D">
        <w:rPr>
          <w:rFonts w:ascii="Segoe UI Semilight" w:hAnsi="Segoe UI Semilight" w:cs="Segoe UI Semilight"/>
          <w:b/>
          <w:bCs/>
          <w:sz w:val="20"/>
          <w:szCs w:val="20"/>
        </w:rPr>
        <w:t>18 %</w:t>
      </w:r>
      <w:r w:rsidRPr="005F282D">
        <w:rPr>
          <w:rFonts w:ascii="Segoe UI Semilight" w:hAnsi="Segoe UI Semilight" w:cs="Segoe UI Semilight"/>
          <w:sz w:val="20"/>
          <w:szCs w:val="20"/>
        </w:rPr>
        <w:t xml:space="preserve">. En revanche, aucun effet significatif n'a été observé pour l'exénatide ou la dulaglutide. </w:t>
      </w:r>
      <w:r w:rsidRPr="00894D3A">
        <w:rPr>
          <w:rFonts w:ascii="Segoe UI Semilight" w:hAnsi="Segoe UI Semilight" w:cs="Segoe UI Semilight"/>
          <w:sz w:val="20"/>
          <w:szCs w:val="20"/>
        </w:rPr>
        <w:t xml:space="preserve">Cela suggère que l'effet n'est pas un effet de classe global et qu'il ne peut être simplement attribué à une meilleure observance liée à la forme injectable hebdomadaire, à moins que la différence ne repose entièrement sur le degré de perte de poids. Les auteurs notent d'ailleurs qu'une étude chez les vétérans américains a révélé une réduction du mésusage d'alcool sous </w:t>
      </w:r>
      <w:r w:rsidR="007C3D5B">
        <w:rPr>
          <w:rFonts w:ascii="Segoe UI Semilight" w:hAnsi="Segoe UI Semilight" w:cs="Segoe UI Semilight"/>
          <w:sz w:val="20"/>
          <w:szCs w:val="20"/>
        </w:rPr>
        <w:t xml:space="preserve">les </w:t>
      </w:r>
      <w:r w:rsidR="007C3D5B" w:rsidRPr="005F282D">
        <w:rPr>
          <w:rFonts w:ascii="Segoe UI Semilight" w:hAnsi="Segoe UI Semilight" w:cs="Segoe UI Semilight"/>
          <w:sz w:val="20"/>
          <w:szCs w:val="20"/>
        </w:rPr>
        <w:t xml:space="preserve">agonistes des récepteurs du GLP-1 </w:t>
      </w:r>
      <w:r w:rsidRPr="00894D3A">
        <w:rPr>
          <w:rFonts w:ascii="Segoe UI Semilight" w:hAnsi="Segoe UI Semilight" w:cs="Segoe UI Semilight"/>
          <w:sz w:val="20"/>
          <w:szCs w:val="20"/>
        </w:rPr>
        <w:t>indépendamment de l'IMC initial.</w:t>
      </w:r>
    </w:p>
    <w:p w14:paraId="2B897EA6" w14:textId="6F3D89CB" w:rsidR="00894D3A" w:rsidRPr="00894D3A" w:rsidRDefault="00894D3A" w:rsidP="00894D3A">
      <w:pPr>
        <w:rPr>
          <w:rFonts w:ascii="Segoe UI Semilight" w:hAnsi="Segoe UI Semilight" w:cs="Segoe UI Semilight"/>
          <w:sz w:val="20"/>
          <w:szCs w:val="20"/>
        </w:rPr>
      </w:pPr>
      <w:r w:rsidRPr="00894D3A">
        <w:rPr>
          <w:rFonts w:ascii="Segoe UI Semilight" w:hAnsi="Segoe UI Semilight" w:cs="Segoe UI Semilight"/>
          <w:sz w:val="20"/>
          <w:szCs w:val="20"/>
        </w:rPr>
        <w:t xml:space="preserve">Le sémaglutide s'est révélé statistiquement supérieur à tous les autres </w:t>
      </w:r>
      <w:r w:rsidR="007C3D5B" w:rsidRPr="005F282D">
        <w:rPr>
          <w:rFonts w:ascii="Segoe UI Semilight" w:hAnsi="Segoe UI Semilight" w:cs="Segoe UI Semilight"/>
          <w:sz w:val="20"/>
          <w:szCs w:val="20"/>
        </w:rPr>
        <w:t xml:space="preserve">agonistes des récepteurs du GLP-1 </w:t>
      </w:r>
      <w:r w:rsidRPr="00894D3A">
        <w:rPr>
          <w:rFonts w:ascii="Segoe UI Semilight" w:hAnsi="Segoe UI Semilight" w:cs="Segoe UI Semilight"/>
          <w:sz w:val="20"/>
          <w:szCs w:val="20"/>
        </w:rPr>
        <w:t xml:space="preserve">pour le critère principal et a été le seul associé à des bénéfices sur les critères secondaires d'anxiété et de dépression, là où le liraglutide n'agissait que sur la dépression. Cette hiérarchie de performance est cohérente avec les méta-analyses montrant la supériorité du sémaglutide sur le contrôle glycémique et la perte de poids. Toutefois, l'étude ne permet pas d'affirmer que la perte de poids est la cause directe de l'amélioration psychique ; la relation entre molécule, poids et santé mentale demeure complexe. </w:t>
      </w:r>
    </w:p>
    <w:p w14:paraId="54CC7547" w14:textId="77777777" w:rsidR="00894D3A" w:rsidRPr="00894D3A" w:rsidRDefault="00894D3A" w:rsidP="00894D3A">
      <w:pPr>
        <w:rPr>
          <w:rFonts w:ascii="Segoe UI Semilight" w:hAnsi="Segoe UI Semilight" w:cs="Segoe UI Semilight"/>
          <w:sz w:val="20"/>
          <w:szCs w:val="20"/>
        </w:rPr>
      </w:pPr>
      <w:r w:rsidRPr="00894D3A">
        <w:rPr>
          <w:rFonts w:ascii="Segoe UI Semilight" w:hAnsi="Segoe UI Semilight" w:cs="Segoe UI Semilight"/>
          <w:sz w:val="20"/>
          <w:szCs w:val="20"/>
        </w:rPr>
        <w:t xml:space="preserve">D'un point de vue médico-social, la réduction des arrêts maladie associée au sémaglutide et au liraglutide représente un enjeu majeur pour les politiques de santé publique. Les résultats concernant la diminution de </w:t>
      </w:r>
      <w:r w:rsidRPr="00894D3A">
        <w:rPr>
          <w:rFonts w:ascii="Segoe UI Semilight" w:hAnsi="Segoe UI Semilight" w:cs="Segoe UI Semilight"/>
          <w:sz w:val="20"/>
          <w:szCs w:val="20"/>
        </w:rPr>
        <w:lastRenderedPageBreak/>
        <w:t>l'automutilation sont particulièrement saillants et rejoignent plusieurs travaux récents qui contrent les inquiétudes initiales sur un potentiel risque suicidaire. Par ailleurs, cette étude complète des travaux antérieurs sur la réduction des hospitalisations pour troubles de l'usage de substances, tout en démontrant que l'effet psychiatrique du sémaglutide persiste même lorsque ces troubles sont exclus de l'analyse, suggérant une action propre sur la dépression et l'anxiété.</w:t>
      </w:r>
    </w:p>
    <w:p w14:paraId="42BC0FDE" w14:textId="10C48557" w:rsidR="00894D3A" w:rsidRPr="00894D3A" w:rsidRDefault="00894D3A" w:rsidP="00894D3A">
      <w:pPr>
        <w:rPr>
          <w:rFonts w:ascii="Segoe UI Semilight" w:hAnsi="Segoe UI Semilight" w:cs="Segoe UI Semilight"/>
          <w:sz w:val="20"/>
          <w:szCs w:val="20"/>
        </w:rPr>
      </w:pPr>
      <w:r w:rsidRPr="00894D3A">
        <w:rPr>
          <w:rFonts w:ascii="Segoe UI Semilight" w:hAnsi="Segoe UI Semilight" w:cs="Segoe UI Semilight"/>
          <w:sz w:val="20"/>
          <w:szCs w:val="20"/>
        </w:rPr>
        <w:t xml:space="preserve">Sur le plan fondamental, il existe une base théorique expliquant comment les </w:t>
      </w:r>
      <w:r w:rsidR="007C3D5B" w:rsidRPr="005F282D">
        <w:rPr>
          <w:rFonts w:ascii="Segoe UI Semilight" w:hAnsi="Segoe UI Semilight" w:cs="Segoe UI Semilight"/>
          <w:sz w:val="20"/>
          <w:szCs w:val="20"/>
        </w:rPr>
        <w:t xml:space="preserve">agonistes des récepteurs du GLP-1 </w:t>
      </w:r>
      <w:r w:rsidRPr="00894D3A">
        <w:rPr>
          <w:rFonts w:ascii="Segoe UI Semilight" w:hAnsi="Segoe UI Semilight" w:cs="Segoe UI Semilight"/>
          <w:sz w:val="20"/>
          <w:szCs w:val="20"/>
        </w:rPr>
        <w:t>pourraient améliorer la symptomatologie anxio-dépressive via les voies sérotoninergiques et dopaminergiques (mésolimbiques et fronto</w:t>
      </w:r>
      <w:r w:rsidR="001F4160" w:rsidRPr="005F282D">
        <w:rPr>
          <w:rFonts w:ascii="Segoe UI Semilight" w:hAnsi="Segoe UI Semilight" w:cs="Segoe UI Semilight"/>
          <w:sz w:val="20"/>
          <w:szCs w:val="20"/>
        </w:rPr>
        <w:t>-</w:t>
      </w:r>
      <w:r w:rsidRPr="00894D3A">
        <w:rPr>
          <w:rFonts w:ascii="Segoe UI Semilight" w:hAnsi="Segoe UI Semilight" w:cs="Segoe UI Semilight"/>
          <w:sz w:val="20"/>
          <w:szCs w:val="20"/>
        </w:rPr>
        <w:t xml:space="preserve">corticales). L'hormone GLP-1 pourrait réduire la neuro-inflammation et le stress oxydatif. De plus, l'activation </w:t>
      </w:r>
      <w:r w:rsidR="007C3D5B">
        <w:rPr>
          <w:rFonts w:ascii="Segoe UI Semilight" w:hAnsi="Segoe UI Semilight" w:cs="Segoe UI Semilight"/>
          <w:sz w:val="20"/>
          <w:szCs w:val="20"/>
        </w:rPr>
        <w:t>de l’AMP cyclique</w:t>
      </w:r>
      <w:r w:rsidRPr="00894D3A">
        <w:rPr>
          <w:rFonts w:ascii="Segoe UI Semilight" w:hAnsi="Segoe UI Semilight" w:cs="Segoe UI Semilight"/>
          <w:sz w:val="20"/>
          <w:szCs w:val="20"/>
        </w:rPr>
        <w:t xml:space="preserve"> par ces molécules favoriserait la survie et la régénération neuronale, notamment dans l'hippocampe, comme le suggèrent des études animales sur la résistance à l'excitotoxicité du glutamate. Ainsi, les effets psychiatriques pourraient résulter d'une action directe sur les fonctions cérébrales autant que de la perte de poids, bien que le genre puisse médier ces interactions.</w:t>
      </w:r>
    </w:p>
    <w:p w14:paraId="4CE2D6FA" w14:textId="5713E50B" w:rsidR="001F4160" w:rsidRPr="007C3D5B" w:rsidRDefault="00894D3A" w:rsidP="007C3D5B">
      <w:pPr>
        <w:rPr>
          <w:rFonts w:ascii="Segoe UI Semilight" w:hAnsi="Segoe UI Semilight" w:cs="Segoe UI Semilight"/>
          <w:sz w:val="20"/>
          <w:szCs w:val="20"/>
        </w:rPr>
      </w:pPr>
      <w:r w:rsidRPr="00894D3A">
        <w:rPr>
          <w:rFonts w:ascii="Segoe UI Semilight" w:hAnsi="Segoe UI Semilight" w:cs="Segoe UI Semilight"/>
          <w:sz w:val="20"/>
          <w:szCs w:val="20"/>
        </w:rPr>
        <w:t xml:space="preserve">Enfin, l'étude reconnaît des limites, notamment sa généralisabilité limitée au système de santé suédois et son caractère observationnel qui ne permet pas d'établir de causalité. L'absence de données précises sur l'HbA1c ou l'IMC dans les registres, ainsi que les pénuries de médicaments sur le marché, ont empêché une analyse dose-réponse complète. Malgré ces réserves et le biais potentiel lié à la pandémie de COVID-19, les auteurs concluent que les preuves sont suffisantes pour justifier le lancement d'essais contrôlés randomisés évaluant l'efficacité des </w:t>
      </w:r>
      <w:r w:rsidR="007C3D5B" w:rsidRPr="005F282D">
        <w:rPr>
          <w:rFonts w:ascii="Segoe UI Semilight" w:hAnsi="Segoe UI Semilight" w:cs="Segoe UI Semilight"/>
          <w:sz w:val="20"/>
          <w:szCs w:val="20"/>
        </w:rPr>
        <w:t xml:space="preserve">agonistes des récepteurs du GLP-1 </w:t>
      </w:r>
      <w:r w:rsidRPr="00894D3A">
        <w:rPr>
          <w:rFonts w:ascii="Segoe UI Semilight" w:hAnsi="Segoe UI Semilight" w:cs="Segoe UI Semilight"/>
          <w:sz w:val="20"/>
          <w:szCs w:val="20"/>
        </w:rPr>
        <w:t>spécifiquement chez les patients souffrant de troubles de l'humeur.</w:t>
      </w:r>
    </w:p>
    <w:p w14:paraId="73C843A6" w14:textId="2D4F0580" w:rsidR="007C3D5B" w:rsidRDefault="007C3D5B" w:rsidP="001F4160">
      <w:pPr>
        <w:rPr>
          <w:rFonts w:ascii="Segoe UI Semilight" w:hAnsi="Segoe UI Semilight" w:cs="Segoe UI Semilight"/>
        </w:rPr>
      </w:pPr>
      <w:r w:rsidRPr="00E53E4D">
        <w:rPr>
          <w:rFonts w:ascii="Segoe UI Semibold" w:hAnsi="Segoe UI Semibold" w:cs="Segoe UI Semibold"/>
          <w:color w:val="EE0000"/>
        </w:rPr>
        <w:t>CONCLUSION</w:t>
      </w:r>
    </w:p>
    <w:p w14:paraId="3D44DCB5" w14:textId="7EEC9F91" w:rsidR="001F4160" w:rsidRPr="00E53E4D" w:rsidRDefault="007C3D5B" w:rsidP="001F4160">
      <w:pPr>
        <w:rPr>
          <w:rFonts w:ascii="Segoe UI Semilight" w:hAnsi="Segoe UI Semilight" w:cs="Segoe UI Semilight"/>
        </w:rPr>
      </w:pPr>
      <w:r w:rsidRPr="00E53E4D">
        <w:rPr>
          <w:rFonts w:ascii="Segoe UI Semilight" w:hAnsi="Segoe UI Semilight" w:cs="Segoe UI Semilight"/>
        </w:rPr>
        <w:t>Les</w:t>
      </w:r>
      <w:r w:rsidR="001F4160" w:rsidRPr="00E53E4D">
        <w:rPr>
          <w:rFonts w:ascii="Segoe UI Semilight" w:hAnsi="Segoe UI Semilight" w:cs="Segoe UI Semilight"/>
        </w:rPr>
        <w:t xml:space="preserve"> agonistes des récepteurs du GLP-1, en particulier le sémaglutide, pourraient représenter des options thérapeutiques à double bénéfice, métabolique et psychiatrique, chez les patients présentant un diabète associé à des troubles dépressifs ou anxieux. Ces résultats nécessitent toutefois d’être confirmés par des essais contrôlés randomisés afin de préciser leur place dans la stratégie thérapeutique en psychiatrie.</w:t>
      </w:r>
    </w:p>
    <w:p w14:paraId="749618DD" w14:textId="77777777" w:rsidR="001F4160" w:rsidRPr="001F4160" w:rsidRDefault="001F4160" w:rsidP="00894D3A">
      <w:pPr>
        <w:rPr>
          <w:rFonts w:ascii="Segoe UI Semilight" w:hAnsi="Segoe UI Semilight" w:cs="Segoe UI Semilight"/>
        </w:rPr>
      </w:pPr>
    </w:p>
    <w:sectPr w:rsidR="001F4160" w:rsidRPr="001F4160" w:rsidSect="002C7ED7">
      <w:pgSz w:w="11906" w:h="16838"/>
      <w:pgMar w:top="851" w:right="1133"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emilight">
    <w:panose1 w:val="020B04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GuardianSansGR-Regular">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C5103"/>
    <w:multiLevelType w:val="hybridMultilevel"/>
    <w:tmpl w:val="1DAA4CE0"/>
    <w:lvl w:ilvl="0" w:tplc="04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1D84D62"/>
    <w:multiLevelType w:val="multilevel"/>
    <w:tmpl w:val="01B6F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643FA8"/>
    <w:multiLevelType w:val="hybridMultilevel"/>
    <w:tmpl w:val="4EAEEAF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9545EE6"/>
    <w:multiLevelType w:val="hybridMultilevel"/>
    <w:tmpl w:val="625247C0"/>
    <w:lvl w:ilvl="0" w:tplc="D99265A8">
      <w:start w:val="3"/>
      <w:numFmt w:val="bullet"/>
      <w:lvlText w:val="-"/>
      <w:lvlJc w:val="left"/>
      <w:pPr>
        <w:ind w:left="720" w:hanging="360"/>
      </w:pPr>
      <w:rPr>
        <w:rFonts w:ascii="Segoe UI Semilight" w:eastAsiaTheme="minorHAnsi" w:hAnsi="Segoe UI Semilight" w:cs="Segoe UI Semi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A491307"/>
    <w:multiLevelType w:val="hybridMultilevel"/>
    <w:tmpl w:val="38AC66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A7D5733"/>
    <w:multiLevelType w:val="hybridMultilevel"/>
    <w:tmpl w:val="DE24C344"/>
    <w:lvl w:ilvl="0" w:tplc="DC80D91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F594D3D"/>
    <w:multiLevelType w:val="hybridMultilevel"/>
    <w:tmpl w:val="B440746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1020457"/>
    <w:multiLevelType w:val="multilevel"/>
    <w:tmpl w:val="45BED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364912"/>
    <w:multiLevelType w:val="hybridMultilevel"/>
    <w:tmpl w:val="168E87B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9376693"/>
    <w:multiLevelType w:val="multilevel"/>
    <w:tmpl w:val="C596A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930773"/>
    <w:multiLevelType w:val="multilevel"/>
    <w:tmpl w:val="E09E8A64"/>
    <w:lvl w:ilvl="0">
      <w:start w:val="3"/>
      <w:numFmt w:val="bullet"/>
      <w:lvlText w:val="-"/>
      <w:lvlJc w:val="left"/>
      <w:pPr>
        <w:tabs>
          <w:tab w:val="num" w:pos="720"/>
        </w:tabs>
        <w:ind w:left="720" w:hanging="360"/>
      </w:pPr>
      <w:rPr>
        <w:rFonts w:ascii="Segoe UI Semilight" w:eastAsiaTheme="minorHAnsi" w:hAnsi="Segoe UI Semilight" w:cs="Segoe UI Semilight"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A455E3"/>
    <w:multiLevelType w:val="multilevel"/>
    <w:tmpl w:val="634E2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5F6045"/>
    <w:multiLevelType w:val="hybridMultilevel"/>
    <w:tmpl w:val="112E912A"/>
    <w:lvl w:ilvl="0" w:tplc="D99265A8">
      <w:start w:val="3"/>
      <w:numFmt w:val="bullet"/>
      <w:lvlText w:val="-"/>
      <w:lvlJc w:val="left"/>
      <w:pPr>
        <w:ind w:left="720" w:hanging="360"/>
      </w:pPr>
      <w:rPr>
        <w:rFonts w:ascii="Segoe UI Semilight" w:eastAsiaTheme="minorHAnsi" w:hAnsi="Segoe UI Semilight" w:cs="Segoe UI Semi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6DF5A8A"/>
    <w:multiLevelType w:val="hybridMultilevel"/>
    <w:tmpl w:val="75EC4F5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605745D"/>
    <w:multiLevelType w:val="hybridMultilevel"/>
    <w:tmpl w:val="CEFAD7C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88A2555"/>
    <w:multiLevelType w:val="hybridMultilevel"/>
    <w:tmpl w:val="BCE08ECE"/>
    <w:lvl w:ilvl="0" w:tplc="D99265A8">
      <w:start w:val="3"/>
      <w:numFmt w:val="bullet"/>
      <w:lvlText w:val="-"/>
      <w:lvlJc w:val="left"/>
      <w:pPr>
        <w:ind w:left="720" w:hanging="360"/>
      </w:pPr>
      <w:rPr>
        <w:rFonts w:ascii="Segoe UI Semilight" w:eastAsiaTheme="minorHAnsi" w:hAnsi="Segoe UI Semilight" w:cs="Segoe UI Semi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63170BC"/>
    <w:multiLevelType w:val="hybridMultilevel"/>
    <w:tmpl w:val="7E2E20B0"/>
    <w:lvl w:ilvl="0" w:tplc="D99265A8">
      <w:start w:val="3"/>
      <w:numFmt w:val="bullet"/>
      <w:lvlText w:val="-"/>
      <w:lvlJc w:val="left"/>
      <w:pPr>
        <w:ind w:left="1080" w:hanging="360"/>
      </w:pPr>
      <w:rPr>
        <w:rFonts w:ascii="Segoe UI Semilight" w:eastAsiaTheme="minorHAnsi" w:hAnsi="Segoe UI Semilight" w:cs="Segoe UI Semilight"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59CF2B8E"/>
    <w:multiLevelType w:val="hybridMultilevel"/>
    <w:tmpl w:val="0B5ACB7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D1C3FF1"/>
    <w:multiLevelType w:val="hybridMultilevel"/>
    <w:tmpl w:val="A1E8E730"/>
    <w:lvl w:ilvl="0" w:tplc="040C0005">
      <w:start w:val="1"/>
      <w:numFmt w:val="bullet"/>
      <w:lvlText w:val=""/>
      <w:lvlJc w:val="left"/>
      <w:pPr>
        <w:ind w:left="770" w:hanging="360"/>
      </w:pPr>
      <w:rPr>
        <w:rFonts w:ascii="Wingdings" w:hAnsi="Wingdings"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19" w15:restartNumberingAfterBreak="0">
    <w:nsid w:val="5EF52017"/>
    <w:multiLevelType w:val="hybridMultilevel"/>
    <w:tmpl w:val="A0904B16"/>
    <w:lvl w:ilvl="0" w:tplc="04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3FB60B7"/>
    <w:multiLevelType w:val="hybridMultilevel"/>
    <w:tmpl w:val="0AA47C2A"/>
    <w:lvl w:ilvl="0" w:tplc="D99265A8">
      <w:start w:val="3"/>
      <w:numFmt w:val="bullet"/>
      <w:lvlText w:val="-"/>
      <w:lvlJc w:val="left"/>
      <w:pPr>
        <w:ind w:left="1080" w:hanging="360"/>
      </w:pPr>
      <w:rPr>
        <w:rFonts w:ascii="Segoe UI Semilight" w:eastAsiaTheme="minorHAnsi" w:hAnsi="Segoe UI Semilight" w:cs="Segoe UI Semilight"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15:restartNumberingAfterBreak="0">
    <w:nsid w:val="6EC972D9"/>
    <w:multiLevelType w:val="multilevel"/>
    <w:tmpl w:val="7AA0E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AF298F"/>
    <w:multiLevelType w:val="multilevel"/>
    <w:tmpl w:val="F8AEC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4669212">
    <w:abstractNumId w:val="1"/>
  </w:num>
  <w:num w:numId="2" w16cid:durableId="1631938110">
    <w:abstractNumId w:val="9"/>
  </w:num>
  <w:num w:numId="3" w16cid:durableId="1407536974">
    <w:abstractNumId w:val="7"/>
  </w:num>
  <w:num w:numId="4" w16cid:durableId="1224490988">
    <w:abstractNumId w:val="11"/>
  </w:num>
  <w:num w:numId="5" w16cid:durableId="1038092834">
    <w:abstractNumId w:val="22"/>
  </w:num>
  <w:num w:numId="6" w16cid:durableId="419496451">
    <w:abstractNumId w:val="21"/>
  </w:num>
  <w:num w:numId="7" w16cid:durableId="605650524">
    <w:abstractNumId w:val="5"/>
  </w:num>
  <w:num w:numId="8" w16cid:durableId="1492720777">
    <w:abstractNumId w:val="3"/>
  </w:num>
  <w:num w:numId="9" w16cid:durableId="1869829074">
    <w:abstractNumId w:val="20"/>
  </w:num>
  <w:num w:numId="10" w16cid:durableId="1901399519">
    <w:abstractNumId w:val="16"/>
  </w:num>
  <w:num w:numId="11" w16cid:durableId="1961377786">
    <w:abstractNumId w:val="12"/>
  </w:num>
  <w:num w:numId="12" w16cid:durableId="1721127380">
    <w:abstractNumId w:val="10"/>
  </w:num>
  <w:num w:numId="13" w16cid:durableId="1886334472">
    <w:abstractNumId w:val="4"/>
  </w:num>
  <w:num w:numId="14" w16cid:durableId="300699110">
    <w:abstractNumId w:val="13"/>
  </w:num>
  <w:num w:numId="15" w16cid:durableId="1028333477">
    <w:abstractNumId w:val="8"/>
  </w:num>
  <w:num w:numId="16" w16cid:durableId="1723946672">
    <w:abstractNumId w:val="17"/>
  </w:num>
  <w:num w:numId="17" w16cid:durableId="508181507">
    <w:abstractNumId w:val="2"/>
  </w:num>
  <w:num w:numId="18" w16cid:durableId="2013412087">
    <w:abstractNumId w:val="18"/>
  </w:num>
  <w:num w:numId="19" w16cid:durableId="832139116">
    <w:abstractNumId w:val="14"/>
  </w:num>
  <w:num w:numId="20" w16cid:durableId="321155167">
    <w:abstractNumId w:val="15"/>
  </w:num>
  <w:num w:numId="21" w16cid:durableId="1230110890">
    <w:abstractNumId w:val="6"/>
  </w:num>
  <w:num w:numId="22" w16cid:durableId="1471705958">
    <w:abstractNumId w:val="19"/>
  </w:num>
  <w:num w:numId="23" w16cid:durableId="597254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29D"/>
    <w:rsid w:val="000D5508"/>
    <w:rsid w:val="0019609C"/>
    <w:rsid w:val="001F4160"/>
    <w:rsid w:val="00240FCA"/>
    <w:rsid w:val="002C7ED7"/>
    <w:rsid w:val="00354EA5"/>
    <w:rsid w:val="003C4F72"/>
    <w:rsid w:val="0044727D"/>
    <w:rsid w:val="004B36A0"/>
    <w:rsid w:val="0054602F"/>
    <w:rsid w:val="005F282D"/>
    <w:rsid w:val="006A666D"/>
    <w:rsid w:val="00727533"/>
    <w:rsid w:val="0075647F"/>
    <w:rsid w:val="007C3D5B"/>
    <w:rsid w:val="00894D3A"/>
    <w:rsid w:val="009A5DD4"/>
    <w:rsid w:val="00A231EC"/>
    <w:rsid w:val="00A72387"/>
    <w:rsid w:val="00AA1A66"/>
    <w:rsid w:val="00CB375B"/>
    <w:rsid w:val="00D20507"/>
    <w:rsid w:val="00D528D4"/>
    <w:rsid w:val="00E50F33"/>
    <w:rsid w:val="00F2329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70532"/>
  <w15:chartTrackingRefBased/>
  <w15:docId w15:val="{B807A376-5791-4AA3-B2E0-FD6877F80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232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F232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F2329D"/>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F2329D"/>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F2329D"/>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F2329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2329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2329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2329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2329D"/>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F2329D"/>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F2329D"/>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F2329D"/>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F2329D"/>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F2329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2329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2329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2329D"/>
    <w:rPr>
      <w:rFonts w:eastAsiaTheme="majorEastAsia" w:cstheme="majorBidi"/>
      <w:color w:val="272727" w:themeColor="text1" w:themeTint="D8"/>
    </w:rPr>
  </w:style>
  <w:style w:type="paragraph" w:styleId="Titre">
    <w:name w:val="Title"/>
    <w:basedOn w:val="Normal"/>
    <w:next w:val="Normal"/>
    <w:link w:val="TitreCar"/>
    <w:uiPriority w:val="10"/>
    <w:qFormat/>
    <w:rsid w:val="00F232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2329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2329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2329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2329D"/>
    <w:pPr>
      <w:spacing w:before="160"/>
      <w:jc w:val="center"/>
    </w:pPr>
    <w:rPr>
      <w:i/>
      <w:iCs/>
      <w:color w:val="404040" w:themeColor="text1" w:themeTint="BF"/>
    </w:rPr>
  </w:style>
  <w:style w:type="character" w:customStyle="1" w:styleId="CitationCar">
    <w:name w:val="Citation Car"/>
    <w:basedOn w:val="Policepardfaut"/>
    <w:link w:val="Citation"/>
    <w:uiPriority w:val="29"/>
    <w:rsid w:val="00F2329D"/>
    <w:rPr>
      <w:i/>
      <w:iCs/>
      <w:color w:val="404040" w:themeColor="text1" w:themeTint="BF"/>
    </w:rPr>
  </w:style>
  <w:style w:type="paragraph" w:styleId="Paragraphedeliste">
    <w:name w:val="List Paragraph"/>
    <w:basedOn w:val="Normal"/>
    <w:uiPriority w:val="34"/>
    <w:qFormat/>
    <w:rsid w:val="00F2329D"/>
    <w:pPr>
      <w:ind w:left="720"/>
      <w:contextualSpacing/>
    </w:pPr>
  </w:style>
  <w:style w:type="character" w:styleId="Accentuationintense">
    <w:name w:val="Intense Emphasis"/>
    <w:basedOn w:val="Policepardfaut"/>
    <w:uiPriority w:val="21"/>
    <w:qFormat/>
    <w:rsid w:val="00F2329D"/>
    <w:rPr>
      <w:i/>
      <w:iCs/>
      <w:color w:val="2F5496" w:themeColor="accent1" w:themeShade="BF"/>
    </w:rPr>
  </w:style>
  <w:style w:type="paragraph" w:styleId="Citationintense">
    <w:name w:val="Intense Quote"/>
    <w:basedOn w:val="Normal"/>
    <w:next w:val="Normal"/>
    <w:link w:val="CitationintenseCar"/>
    <w:uiPriority w:val="30"/>
    <w:qFormat/>
    <w:rsid w:val="00F232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F2329D"/>
    <w:rPr>
      <w:i/>
      <w:iCs/>
      <w:color w:val="2F5496" w:themeColor="accent1" w:themeShade="BF"/>
    </w:rPr>
  </w:style>
  <w:style w:type="character" w:styleId="Rfrenceintense">
    <w:name w:val="Intense Reference"/>
    <w:basedOn w:val="Policepardfaut"/>
    <w:uiPriority w:val="32"/>
    <w:qFormat/>
    <w:rsid w:val="00F2329D"/>
    <w:rPr>
      <w:b/>
      <w:bCs/>
      <w:smallCaps/>
      <w:color w:val="2F5496" w:themeColor="accent1" w:themeShade="BF"/>
      <w:spacing w:val="5"/>
    </w:rPr>
  </w:style>
  <w:style w:type="paragraph" w:styleId="NormalWeb">
    <w:name w:val="Normal (Web)"/>
    <w:basedOn w:val="Normal"/>
    <w:uiPriority w:val="99"/>
    <w:semiHidden/>
    <w:unhideWhenUsed/>
    <w:rsid w:val="00354EA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2566</TotalTime>
  <Pages>1</Pages>
  <Words>1587</Words>
  <Characters>8732</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soukayna ns</dc:creator>
  <cp:keywords/>
  <dc:description/>
  <cp:lastModifiedBy>khadija Akebour</cp:lastModifiedBy>
  <cp:revision>8</cp:revision>
  <dcterms:created xsi:type="dcterms:W3CDTF">2026-04-22T11:57:00Z</dcterms:created>
  <dcterms:modified xsi:type="dcterms:W3CDTF">2026-04-27T13:35:00Z</dcterms:modified>
</cp:coreProperties>
</file>