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416FD" w14:textId="6457F19C" w:rsidR="00B40341" w:rsidRPr="00E971C6" w:rsidRDefault="00B40341" w:rsidP="00E971C6">
      <w:pPr>
        <w:rPr>
          <w:sz w:val="44"/>
          <w:szCs w:val="44"/>
        </w:rPr>
      </w:pPr>
    </w:p>
    <w:p w14:paraId="09043B6A" w14:textId="0D9D0289" w:rsidR="00E971C6" w:rsidRPr="00A373B0" w:rsidRDefault="00A373B0" w:rsidP="00A373B0">
      <w:pPr>
        <w:jc w:val="center"/>
        <w:rPr>
          <w:sz w:val="48"/>
          <w:szCs w:val="48"/>
        </w:rPr>
      </w:pPr>
      <w:r w:rsidRPr="00A373B0">
        <w:rPr>
          <w:sz w:val="48"/>
          <w:szCs w:val="48"/>
        </w:rPr>
        <w:t>L</w:t>
      </w:r>
      <w:r w:rsidRPr="00A373B0">
        <w:rPr>
          <w:color w:val="000000"/>
          <w:sz w:val="48"/>
          <w:szCs w:val="48"/>
        </w:rPr>
        <w:t>’</w:t>
      </w:r>
      <w:r w:rsidRPr="00A373B0">
        <w:rPr>
          <w:sz w:val="48"/>
          <w:szCs w:val="48"/>
        </w:rPr>
        <w:t>etude des m</w:t>
      </w:r>
      <w:r w:rsidRPr="00A373B0">
        <w:rPr>
          <w:color w:val="000000"/>
          <w:sz w:val="48"/>
          <w:szCs w:val="48"/>
        </w:rPr>
        <w:t>é</w:t>
      </w:r>
      <w:r w:rsidRPr="00A373B0">
        <w:rPr>
          <w:sz w:val="48"/>
          <w:szCs w:val="48"/>
        </w:rPr>
        <w:t xml:space="preserve">tabolites comme </w:t>
      </w:r>
      <w:r w:rsidR="00E971C6" w:rsidRPr="00A373B0">
        <w:rPr>
          <w:sz w:val="48"/>
          <w:szCs w:val="48"/>
        </w:rPr>
        <w:t>biomarqueurs en psychiatrie de precision</w:t>
      </w:r>
    </w:p>
    <w:p w14:paraId="6B7A2A61" w14:textId="7EC6ABB7" w:rsidR="00E971C6" w:rsidRDefault="00E971C6" w:rsidP="00837BB8">
      <w:pPr>
        <w:jc w:val="center"/>
        <w:rPr>
          <w:sz w:val="24"/>
          <w:szCs w:val="24"/>
        </w:rPr>
      </w:pPr>
      <w:r>
        <w:rPr>
          <w:lang w:val="en-GB" w:eastAsia="en-GB" w:bidi="ar-SA"/>
        </w:rPr>
        <w:drawing>
          <wp:inline distT="0" distB="0" distL="0" distR="0" wp14:anchorId="26B68CBC" wp14:editId="4307D8F0">
            <wp:extent cx="5940425" cy="605155"/>
            <wp:effectExtent l="0" t="0" r="317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605155"/>
                    </a:xfrm>
                    <a:prstGeom prst="rect">
                      <a:avLst/>
                    </a:prstGeom>
                  </pic:spPr>
                </pic:pic>
              </a:graphicData>
            </a:graphic>
          </wp:inline>
        </w:drawing>
      </w:r>
    </w:p>
    <w:p w14:paraId="2AADD3ED" w14:textId="24FF6404" w:rsidR="00E971C6" w:rsidRDefault="00E971C6" w:rsidP="00E971C6">
      <w:pPr>
        <w:pStyle w:val="Titre1"/>
        <w:rPr>
          <w:sz w:val="28"/>
          <w:szCs w:val="28"/>
        </w:rPr>
      </w:pPr>
      <w:r>
        <w:rPr>
          <w:lang w:val="en-GB" w:eastAsia="en-GB" w:bidi="ar-SA"/>
        </w:rPr>
        <w:drawing>
          <wp:inline distT="0" distB="0" distL="0" distR="0" wp14:anchorId="005B03C8" wp14:editId="3EACB772">
            <wp:extent cx="5514975" cy="914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9457" cy="915143"/>
                    </a:xfrm>
                    <a:prstGeom prst="rect">
                      <a:avLst/>
                    </a:prstGeom>
                  </pic:spPr>
                </pic:pic>
              </a:graphicData>
            </a:graphic>
          </wp:inline>
        </w:drawing>
      </w:r>
    </w:p>
    <w:p w14:paraId="01E46EC2" w14:textId="4484834C" w:rsidR="00B40341" w:rsidRPr="00E971C6" w:rsidRDefault="00244B3F" w:rsidP="00447A67">
      <w:pPr>
        <w:pStyle w:val="Titre1"/>
        <w:rPr>
          <w:sz w:val="28"/>
          <w:szCs w:val="28"/>
        </w:rPr>
      </w:pPr>
      <w:r w:rsidRPr="00E971C6">
        <w:rPr>
          <w:sz w:val="28"/>
          <w:szCs w:val="28"/>
        </w:rPr>
        <w:t xml:space="preserve">Introduction : </w:t>
      </w:r>
    </w:p>
    <w:p w14:paraId="476008C8" w14:textId="2183C6F8" w:rsidR="00837BB8" w:rsidRPr="00A373B0" w:rsidRDefault="00AB3194" w:rsidP="00A373B0">
      <w:pPr>
        <w:pStyle w:val="NormalWeb"/>
        <w:jc w:val="both"/>
        <w:rPr>
          <w:color w:val="000000"/>
          <w:sz w:val="28"/>
          <w:szCs w:val="28"/>
        </w:rPr>
      </w:pPr>
      <w:r w:rsidRPr="00E971C6">
        <w:rPr>
          <w:color w:val="000000"/>
          <w:sz w:val="28"/>
          <w:szCs w:val="28"/>
        </w:rPr>
        <w:t xml:space="preserve">  Les troubles psychiatriques représentent un ensemble hétérogène de pathologies dont les mécanismes reposent sur des interactions complexes entre facteurs biologiques, environnementaux et psychosociaux. Malgré les progrès des neurosciences, leur diagnostic repose encore majoritairement sur des classifications symptomatiques, comme celles du DSM, qui regroupent les patients selon des manifestations cliniques observables. Cette approche présente des limites importantes, notamment l’absence de prise en compte de l’hétérogénéité biologique, ce qui contribue à une imprécision diagnostique et à une réponse thérapeutique souvent insuffisante. Dans ce contexte, le conce</w:t>
      </w:r>
      <w:bookmarkStart w:id="0" w:name="_GoBack"/>
      <w:bookmarkEnd w:id="0"/>
      <w:r w:rsidRPr="00E971C6">
        <w:rPr>
          <w:color w:val="000000"/>
          <w:sz w:val="28"/>
          <w:szCs w:val="28"/>
        </w:rPr>
        <w:t>pt de psychiatrie de précision émerge comme une approche innovante visant à dépasser le modèle « one-size-</w:t>
      </w:r>
      <w:proofErr w:type="spellStart"/>
      <w:r w:rsidRPr="00E971C6">
        <w:rPr>
          <w:color w:val="000000"/>
          <w:sz w:val="28"/>
          <w:szCs w:val="28"/>
        </w:rPr>
        <w:t>fits</w:t>
      </w:r>
      <w:proofErr w:type="spellEnd"/>
      <w:r w:rsidRPr="00E971C6">
        <w:rPr>
          <w:color w:val="000000"/>
          <w:sz w:val="28"/>
          <w:szCs w:val="28"/>
        </w:rPr>
        <w:t xml:space="preserve">-all ». Elle repose sur l’intégration de données multidimensionnelles, incluant les approches </w:t>
      </w:r>
      <w:proofErr w:type="spellStart"/>
      <w:r w:rsidRPr="00E971C6">
        <w:rPr>
          <w:color w:val="000000"/>
          <w:sz w:val="28"/>
          <w:szCs w:val="28"/>
        </w:rPr>
        <w:t>omiques</w:t>
      </w:r>
      <w:proofErr w:type="spellEnd"/>
      <w:r w:rsidRPr="00E971C6">
        <w:rPr>
          <w:color w:val="000000"/>
          <w:sz w:val="28"/>
          <w:szCs w:val="28"/>
        </w:rPr>
        <w:t>, l’imagerie cérébrale et les phénotypes numériques, afin d’identifier des sous-groupes de patients biologiquement homogènes, de prédire la réponse au traitement et de suivre l’évolution des maladies. Parmi ces approches, la métabolomique occupe une place centrale. Elle consiste en l’étude globale des métabolites, c’est-à-dire des produits finaux des processus biologiques. Contrairement au génome ou au transcriptome, relativement statiques, le métabolome reflète en temps réel l’état fonctionnel de l’organisme en intégrant les influences génétiques, environnementales et pharmacologiques. Il constitue ainsi un marqueur dynamique particulièrement pertinent pour explorer les mécanismes physiopathologiques des troubles mentaux.</w:t>
      </w:r>
      <w:r w:rsidR="00A373B0">
        <w:rPr>
          <w:color w:val="000000"/>
          <w:sz w:val="28"/>
          <w:szCs w:val="28"/>
        </w:rPr>
        <w:t xml:space="preserve"> </w:t>
      </w:r>
      <w:r w:rsidRPr="00E971C6">
        <w:rPr>
          <w:color w:val="000000"/>
          <w:sz w:val="28"/>
          <w:szCs w:val="28"/>
        </w:rPr>
        <w:t xml:space="preserve">Au cours des quinze dernières années, de nombreuses études ont mis en évidence des altérations métaboliques récurrentes dans les troubles psychiatriques, notamment au niveau du métabolisme des acides aminés, des lipides, de l’homéostasie énergétique et du stress oxydatif. Cependant, </w:t>
      </w:r>
      <w:r w:rsidRPr="00E971C6">
        <w:rPr>
          <w:color w:val="000000"/>
          <w:sz w:val="28"/>
          <w:szCs w:val="28"/>
        </w:rPr>
        <w:lastRenderedPageBreak/>
        <w:t>malgré ces avancées, la traduction clinique reste limitée en raison de résultats hétérogènes, de faibles effectifs et d’un manque de standardisation méthodologique.</w:t>
      </w:r>
    </w:p>
    <w:p w14:paraId="4BD9E57B" w14:textId="66B70329" w:rsidR="008261C4" w:rsidRPr="00E971C6" w:rsidRDefault="00837BB8" w:rsidP="00837BB8">
      <w:pPr>
        <w:pStyle w:val="Titre1"/>
        <w:rPr>
          <w:sz w:val="28"/>
          <w:szCs w:val="28"/>
        </w:rPr>
      </w:pPr>
      <w:r w:rsidRPr="00E971C6">
        <w:rPr>
          <w:sz w:val="28"/>
          <w:szCs w:val="28"/>
        </w:rPr>
        <w:t>Patients et m</w:t>
      </w:r>
      <w:r w:rsidR="006D3A01" w:rsidRPr="00E971C6">
        <w:rPr>
          <w:sz w:val="28"/>
          <w:szCs w:val="28"/>
        </w:rPr>
        <w:t>éthode :</w:t>
      </w:r>
    </w:p>
    <w:p w14:paraId="1B55DD1A" w14:textId="4820782F" w:rsidR="00AB3194" w:rsidRPr="00E971C6" w:rsidRDefault="00AB3194" w:rsidP="00E971C6">
      <w:pPr>
        <w:pStyle w:val="NormalWeb"/>
        <w:jc w:val="both"/>
        <w:rPr>
          <w:color w:val="000000"/>
          <w:sz w:val="28"/>
          <w:szCs w:val="28"/>
        </w:rPr>
      </w:pPr>
      <w:r w:rsidRPr="00E971C6">
        <w:rPr>
          <w:color w:val="000000"/>
          <w:sz w:val="28"/>
          <w:szCs w:val="28"/>
        </w:rPr>
        <w:t xml:space="preserve">  La métabolomique se définit comme l’analyse systématique des composés de faible poids moléculaire (&lt;1,5 kDa) présents dans un système biologique. Le métabolome inclut divers types de molécules telles que les acides aminés, les lipides, les sucres, les nucléotides et les acides organiques. Sa nature dynamique en fait un reflet direct de l’activité cellulaire et des interactions entre les différents niveaux biologiques. Les échantillons biologiques utilisés varient selon les objectifs de l’étude. Le sang et les urines sont les matrices les plus utilisées en raison de leur accessibilité, bien qu’ils soient influencés par des facteurs systémiques et environnementaux. Le liquide céphalo-rachidien (LCR), plus proche du système nerveux central, offre une meilleure spécificité mais reste peu utilisé en raison de son caractère invasif. D’autres matrices émergent, comme la salive ou les gouttes de sang séché. Deux principales techniques analytiques sont employées : la spectroscopie par résonance magnétique nucléaire (RMN), caractérisée par une bonne reproductibilité mais une sensibilité limitée, et la spectrométrie de masse (MS), plus sensible et couvrant un large spectre de métabolites, mais plus sujette à variabilité technique. Enfin, deux approches méthodologiques sont distinguées : la métabolomique non ciblée, exploratoire et globale, et la métabolomique ciblée, plus précise et reproductible, utilisée pour valider des biomarqueurs spécifiques.</w:t>
      </w:r>
    </w:p>
    <w:p w14:paraId="3533E73B" w14:textId="4B1573B8" w:rsidR="005460FE" w:rsidRPr="00E971C6" w:rsidRDefault="005C1204" w:rsidP="00837BB8">
      <w:pPr>
        <w:pStyle w:val="Titre1"/>
        <w:rPr>
          <w:sz w:val="28"/>
          <w:szCs w:val="28"/>
        </w:rPr>
      </w:pPr>
      <w:r w:rsidRPr="00E971C6">
        <w:rPr>
          <w:sz w:val="28"/>
          <w:szCs w:val="28"/>
        </w:rPr>
        <w:t>Résultats de l'étude :</w:t>
      </w:r>
    </w:p>
    <w:p w14:paraId="0ECE87A7" w14:textId="7D1DEBC6" w:rsidR="00AB3194" w:rsidRPr="00E971C6" w:rsidRDefault="00447A67" w:rsidP="00AB3194">
      <w:pPr>
        <w:pStyle w:val="NormalWeb"/>
        <w:jc w:val="both"/>
        <w:rPr>
          <w:rFonts w:asciiTheme="majorBidi" w:hAnsiTheme="majorBidi" w:cstheme="majorBidi"/>
          <w:color w:val="000000"/>
          <w:sz w:val="28"/>
          <w:szCs w:val="28"/>
        </w:rPr>
      </w:pPr>
      <w:r w:rsidRPr="00E971C6">
        <w:rPr>
          <w:rFonts w:asciiTheme="majorBidi" w:hAnsiTheme="majorBidi" w:cstheme="majorBidi"/>
          <w:color w:val="000000"/>
          <w:sz w:val="28"/>
          <w:szCs w:val="28"/>
        </w:rPr>
        <w:t xml:space="preserve">  </w:t>
      </w:r>
      <w:r w:rsidR="00AB3194" w:rsidRPr="00E971C6">
        <w:rPr>
          <w:rFonts w:asciiTheme="majorBidi" w:hAnsiTheme="majorBidi" w:cstheme="majorBidi"/>
          <w:color w:val="000000"/>
          <w:sz w:val="28"/>
          <w:szCs w:val="28"/>
        </w:rPr>
        <w:t>Les études métabolomiques ont mis en évidence des perturbations récurrentes dans plusieurs troubles psychiatriques majeurs.</w:t>
      </w:r>
    </w:p>
    <w:p w14:paraId="0982F6A2" w14:textId="77777777" w:rsidR="00AB3194" w:rsidRPr="00E971C6" w:rsidRDefault="00AB3194" w:rsidP="00AB3194">
      <w:pPr>
        <w:pStyle w:val="Titre3"/>
        <w:spacing w:line="240" w:lineRule="auto"/>
        <w:jc w:val="both"/>
        <w:rPr>
          <w:rFonts w:asciiTheme="majorBidi" w:hAnsiTheme="majorBidi"/>
          <w:b/>
          <w:bCs/>
          <w:color w:val="000000"/>
          <w:sz w:val="28"/>
          <w:szCs w:val="28"/>
        </w:rPr>
      </w:pPr>
      <w:r w:rsidRPr="00E971C6">
        <w:rPr>
          <w:rFonts w:asciiTheme="majorBidi" w:hAnsiTheme="majorBidi"/>
          <w:b/>
          <w:bCs/>
          <w:color w:val="000000"/>
          <w:sz w:val="28"/>
          <w:szCs w:val="28"/>
        </w:rPr>
        <w:t>Schizophrénie :</w:t>
      </w:r>
    </w:p>
    <w:p w14:paraId="673B2B53" w14:textId="278F762D" w:rsidR="00AB3194" w:rsidRPr="00E971C6" w:rsidRDefault="00AB3194" w:rsidP="00AB3194">
      <w:pPr>
        <w:pStyle w:val="Titre3"/>
        <w:spacing w:line="240" w:lineRule="auto"/>
        <w:jc w:val="both"/>
        <w:rPr>
          <w:rFonts w:asciiTheme="majorBidi" w:hAnsiTheme="majorBidi"/>
          <w:color w:val="000000"/>
          <w:sz w:val="28"/>
          <w:szCs w:val="28"/>
        </w:rPr>
      </w:pPr>
      <w:r w:rsidRPr="00E971C6">
        <w:rPr>
          <w:rFonts w:asciiTheme="majorBidi" w:hAnsiTheme="majorBidi"/>
          <w:b/>
          <w:bCs/>
          <w:color w:val="000000"/>
          <w:sz w:val="28"/>
          <w:szCs w:val="28"/>
        </w:rPr>
        <w:t xml:space="preserve">  </w:t>
      </w:r>
      <w:r w:rsidRPr="00E971C6">
        <w:rPr>
          <w:rFonts w:asciiTheme="majorBidi" w:hAnsiTheme="majorBidi"/>
          <w:color w:val="000000"/>
          <w:sz w:val="28"/>
          <w:szCs w:val="28"/>
        </w:rPr>
        <w:t>Dans la schizophrénie, les altérations concernent principalement le métabolisme des acides aminés (arginine, proline, glutamate), impliqués dans la neurotransmission. Une dysrégulation du glutathion suggère une vulnérabilité accrue au stress oxydatif. Des anomalies des voies énergétiques (glycolyse, métabolisme du galactose) traduisent un dysfonctionnement bioénergétique cérébral. Les lipides, notamment les acides gras insaturés, sont également affectés, impactant l’intégrité membranaire. Les traitements antipsychotiques semblent moduler partiellement ces anomalies.</w:t>
      </w:r>
    </w:p>
    <w:p w14:paraId="5BF40575" w14:textId="77777777" w:rsidR="00AB3194" w:rsidRPr="00E971C6" w:rsidRDefault="00AB3194" w:rsidP="00AB3194">
      <w:pPr>
        <w:spacing w:line="240" w:lineRule="auto"/>
        <w:jc w:val="both"/>
        <w:rPr>
          <w:rFonts w:asciiTheme="majorBidi" w:hAnsiTheme="majorBidi" w:cstheme="majorBidi"/>
          <w:sz w:val="28"/>
          <w:szCs w:val="28"/>
        </w:rPr>
      </w:pPr>
    </w:p>
    <w:p w14:paraId="7FD20AE2" w14:textId="77777777" w:rsidR="00AB3194" w:rsidRPr="00E971C6" w:rsidRDefault="00AB3194" w:rsidP="00AB3194">
      <w:pPr>
        <w:pStyle w:val="Titre3"/>
        <w:spacing w:line="240" w:lineRule="auto"/>
        <w:jc w:val="both"/>
        <w:rPr>
          <w:rFonts w:asciiTheme="majorBidi" w:hAnsiTheme="majorBidi"/>
          <w:b/>
          <w:bCs/>
          <w:color w:val="000000"/>
          <w:sz w:val="28"/>
          <w:szCs w:val="28"/>
        </w:rPr>
      </w:pPr>
      <w:r w:rsidRPr="00E971C6">
        <w:rPr>
          <w:rFonts w:asciiTheme="majorBidi" w:hAnsiTheme="majorBidi"/>
          <w:b/>
          <w:bCs/>
          <w:color w:val="000000"/>
          <w:sz w:val="28"/>
          <w:szCs w:val="28"/>
        </w:rPr>
        <w:lastRenderedPageBreak/>
        <w:t xml:space="preserve">Trouble bipolaire : </w:t>
      </w:r>
    </w:p>
    <w:p w14:paraId="05F343DF" w14:textId="50F7DDC2" w:rsidR="00AB3194" w:rsidRPr="00E971C6" w:rsidRDefault="00AB3194" w:rsidP="00AB3194">
      <w:pPr>
        <w:pStyle w:val="Titre3"/>
        <w:spacing w:line="240" w:lineRule="auto"/>
        <w:jc w:val="both"/>
        <w:rPr>
          <w:rFonts w:asciiTheme="majorBidi" w:hAnsiTheme="majorBidi"/>
          <w:color w:val="000000"/>
          <w:sz w:val="28"/>
          <w:szCs w:val="28"/>
        </w:rPr>
      </w:pPr>
      <w:r w:rsidRPr="00E971C6">
        <w:rPr>
          <w:rFonts w:asciiTheme="majorBidi" w:hAnsiTheme="majorBidi"/>
          <w:color w:val="000000"/>
          <w:sz w:val="28"/>
          <w:szCs w:val="28"/>
        </w:rPr>
        <w:t xml:space="preserve">  Le trouble bipolaire présente des perturbations du métabolisme des acides aminés branchés et aromatiques, ainsi que de la voie du tryptophane (kynurénine). Des anomalies du cycle de Krebs et de la glycolyse indiquent une altération de l’homéostasie énergétique. Les profils métaboliques varient selon les phases : dépression, manie ou états mixtes, suggérant des signatures spécifiques. Les traitements, notamment le lithium, influencent également ces profils.</w:t>
      </w:r>
    </w:p>
    <w:p w14:paraId="3853A910" w14:textId="77777777" w:rsidR="00AB3194" w:rsidRPr="00E971C6" w:rsidRDefault="00AB3194" w:rsidP="00AB3194">
      <w:pPr>
        <w:rPr>
          <w:sz w:val="28"/>
          <w:szCs w:val="28"/>
        </w:rPr>
      </w:pPr>
    </w:p>
    <w:p w14:paraId="6910FD6B" w14:textId="77777777" w:rsidR="00AB3194" w:rsidRPr="00E971C6" w:rsidRDefault="00AB3194" w:rsidP="00AB3194">
      <w:pPr>
        <w:pStyle w:val="Titre3"/>
        <w:spacing w:line="240" w:lineRule="auto"/>
        <w:jc w:val="both"/>
        <w:rPr>
          <w:rFonts w:asciiTheme="majorBidi" w:hAnsiTheme="majorBidi"/>
          <w:b/>
          <w:bCs/>
          <w:color w:val="000000"/>
          <w:sz w:val="28"/>
          <w:szCs w:val="28"/>
        </w:rPr>
      </w:pPr>
      <w:r w:rsidRPr="00E971C6">
        <w:rPr>
          <w:rFonts w:asciiTheme="majorBidi" w:hAnsiTheme="majorBidi"/>
          <w:b/>
          <w:bCs/>
          <w:color w:val="000000"/>
          <w:sz w:val="28"/>
          <w:szCs w:val="28"/>
        </w:rPr>
        <w:t xml:space="preserve">Dépression majeure : </w:t>
      </w:r>
    </w:p>
    <w:p w14:paraId="1471F218" w14:textId="0FC6D7F1" w:rsidR="00AB3194" w:rsidRPr="00E971C6" w:rsidRDefault="00AB3194" w:rsidP="00AB3194">
      <w:pPr>
        <w:pStyle w:val="Titre3"/>
        <w:spacing w:line="240" w:lineRule="auto"/>
        <w:jc w:val="both"/>
        <w:rPr>
          <w:rFonts w:asciiTheme="majorBidi" w:hAnsiTheme="majorBidi"/>
          <w:color w:val="000000"/>
          <w:sz w:val="28"/>
          <w:szCs w:val="28"/>
        </w:rPr>
      </w:pPr>
      <w:r w:rsidRPr="00E971C6">
        <w:rPr>
          <w:rFonts w:asciiTheme="majorBidi" w:hAnsiTheme="majorBidi"/>
          <w:color w:val="000000"/>
          <w:sz w:val="28"/>
          <w:szCs w:val="28"/>
        </w:rPr>
        <w:t xml:space="preserve">  La dépression majeure se caractérise par une diminution de nombreux acides aminés et des altérations du métabolisme énergétique (cycle de Krebs, pyruvate). Des anomalies lipidiques indiquent des perturbations membranaires et mitochondriales. Un déséquilibre glutamate/GABA est observé, reflétant une dysrégulation de l’excitation neuronale. La voie de la kynurénine est également impliquée, suggérant un lien avec l’inflammation et la neurotoxicité. Les traitements antidépresseurs, y compris la kétamine, modifient ces profils métaboliques.</w:t>
      </w:r>
    </w:p>
    <w:p w14:paraId="5267A8B3" w14:textId="77777777" w:rsidR="00AB3194" w:rsidRPr="00E971C6" w:rsidRDefault="00AB3194" w:rsidP="00AB3194">
      <w:pPr>
        <w:rPr>
          <w:sz w:val="28"/>
          <w:szCs w:val="28"/>
        </w:rPr>
      </w:pPr>
    </w:p>
    <w:p w14:paraId="34146EAA" w14:textId="77777777" w:rsidR="00AB3194" w:rsidRPr="00E971C6" w:rsidRDefault="00AB3194" w:rsidP="00AB3194">
      <w:pPr>
        <w:pStyle w:val="Titre3"/>
        <w:spacing w:line="240" w:lineRule="auto"/>
        <w:jc w:val="both"/>
        <w:rPr>
          <w:rFonts w:asciiTheme="majorBidi" w:hAnsiTheme="majorBidi"/>
          <w:b/>
          <w:bCs/>
          <w:color w:val="000000"/>
          <w:sz w:val="28"/>
          <w:szCs w:val="28"/>
        </w:rPr>
      </w:pPr>
      <w:r w:rsidRPr="00E971C6">
        <w:rPr>
          <w:rFonts w:asciiTheme="majorBidi" w:hAnsiTheme="majorBidi"/>
          <w:b/>
          <w:bCs/>
          <w:color w:val="000000"/>
          <w:sz w:val="28"/>
          <w:szCs w:val="28"/>
        </w:rPr>
        <w:t xml:space="preserve">Troubles anxieux, PTSD et TOC : </w:t>
      </w:r>
    </w:p>
    <w:p w14:paraId="183D78C2" w14:textId="33EFE0C3" w:rsidR="00AB3194" w:rsidRPr="00E971C6" w:rsidRDefault="00AB3194" w:rsidP="00AB3194">
      <w:pPr>
        <w:pStyle w:val="Titre3"/>
        <w:spacing w:line="240" w:lineRule="auto"/>
        <w:jc w:val="both"/>
        <w:rPr>
          <w:rFonts w:asciiTheme="majorBidi" w:hAnsiTheme="majorBidi"/>
          <w:color w:val="000000"/>
          <w:sz w:val="28"/>
          <w:szCs w:val="28"/>
        </w:rPr>
      </w:pPr>
      <w:r w:rsidRPr="00E971C6">
        <w:rPr>
          <w:rFonts w:asciiTheme="majorBidi" w:hAnsiTheme="majorBidi"/>
          <w:color w:val="000000"/>
          <w:sz w:val="28"/>
          <w:szCs w:val="28"/>
        </w:rPr>
        <w:t xml:space="preserve">  Dans les troubles anxieux, des perturbations des lipides et des acides aminés sont observées, mais leur spécificité reste limitée en raison de la comorbidité avec la dépression. Le PTSD est associé à des anomalies du métabolisme énergétique, du stress oxydatif et de l’inflammation. Le TOC présente des altérations du métabolisme des acides gras et du tryptophane, certains métabolites pouvant prédire la réponse au traitement.</w:t>
      </w:r>
    </w:p>
    <w:p w14:paraId="28B6A78F" w14:textId="480D08BF" w:rsidR="00B40341" w:rsidRPr="00E971C6" w:rsidRDefault="00AB3194" w:rsidP="00E971C6">
      <w:pPr>
        <w:pStyle w:val="NormalWeb"/>
        <w:jc w:val="both"/>
        <w:rPr>
          <w:rFonts w:asciiTheme="majorBidi" w:hAnsiTheme="majorBidi" w:cstheme="majorBidi"/>
          <w:color w:val="000000"/>
          <w:sz w:val="28"/>
          <w:szCs w:val="28"/>
        </w:rPr>
      </w:pPr>
      <w:r w:rsidRPr="00E971C6">
        <w:rPr>
          <w:rFonts w:asciiTheme="majorBidi" w:hAnsiTheme="majorBidi" w:cstheme="majorBidi"/>
          <w:color w:val="000000"/>
          <w:sz w:val="28"/>
          <w:szCs w:val="28"/>
        </w:rPr>
        <w:t xml:space="preserve">  Globalement, les altérations convergent vers quelques grandes voies : neurotransmission, métabolisme énergétique, stress oxydatif, inflammation et intégrité membranaire.</w:t>
      </w:r>
    </w:p>
    <w:p w14:paraId="40CCA870" w14:textId="77777777" w:rsidR="00627B87" w:rsidRPr="00E971C6" w:rsidRDefault="00B70E4B" w:rsidP="00837BB8">
      <w:pPr>
        <w:pStyle w:val="Titre1"/>
        <w:rPr>
          <w:sz w:val="28"/>
          <w:szCs w:val="28"/>
        </w:rPr>
      </w:pPr>
      <w:r w:rsidRPr="00E971C6">
        <w:rPr>
          <w:sz w:val="28"/>
          <w:szCs w:val="28"/>
        </w:rPr>
        <w:t>Discussion :</w:t>
      </w:r>
    </w:p>
    <w:p w14:paraId="7F40FEC8" w14:textId="78FD74D4" w:rsidR="00E5170C" w:rsidRPr="00E971C6" w:rsidRDefault="00837BB8" w:rsidP="00E971C6">
      <w:pPr>
        <w:pStyle w:val="NormalWeb"/>
        <w:jc w:val="both"/>
        <w:rPr>
          <w:color w:val="000000"/>
          <w:sz w:val="28"/>
          <w:szCs w:val="28"/>
        </w:rPr>
      </w:pPr>
      <w:r w:rsidRPr="00E971C6">
        <w:rPr>
          <w:rFonts w:asciiTheme="majorBidi" w:hAnsiTheme="majorBidi" w:cstheme="majorBidi"/>
          <w:color w:val="000000"/>
          <w:sz w:val="28"/>
          <w:szCs w:val="28"/>
        </w:rPr>
        <w:t xml:space="preserve">  </w:t>
      </w:r>
      <w:r w:rsidR="00AB3194" w:rsidRPr="00E971C6">
        <w:rPr>
          <w:color w:val="000000"/>
          <w:sz w:val="28"/>
          <w:szCs w:val="28"/>
        </w:rPr>
        <w:t>Les données métabolomiques mettent en évidence une convergence de perturbations biologiques à travers différents troubles psychiatriques. Ces anomalies concernent notamment les acides aminés, les neurotransmetteurs, les voies énergétiques et le métabolisme lipidique. Cette convergence suggère l’existence de mécanismes physiopathologiques transdiagnostiques, dépassant les catégories nosographiques traditionnelles.</w:t>
      </w:r>
      <w:r w:rsidR="00447A67" w:rsidRPr="00E971C6">
        <w:rPr>
          <w:color w:val="000000"/>
          <w:sz w:val="28"/>
          <w:szCs w:val="28"/>
        </w:rPr>
        <w:t xml:space="preserve"> </w:t>
      </w:r>
      <w:r w:rsidR="00AB3194" w:rsidRPr="00E971C6">
        <w:rPr>
          <w:color w:val="000000"/>
          <w:sz w:val="28"/>
          <w:szCs w:val="28"/>
        </w:rPr>
        <w:t>Ces résultats soutiennent une vision dimensionnelle des troubles mentaux, dans laquelle des altérations biologiques communes se manifestent différemment selon les individus. Cela remet en question les classifications actuelles et ouvre la voie à une stratification basée sur des biomarqueurs.</w:t>
      </w:r>
      <w:r w:rsidR="00447A67" w:rsidRPr="00E971C6">
        <w:rPr>
          <w:color w:val="000000"/>
          <w:sz w:val="28"/>
          <w:szCs w:val="28"/>
        </w:rPr>
        <w:t xml:space="preserve"> </w:t>
      </w:r>
      <w:r w:rsidR="00AB3194" w:rsidRPr="00E971C6">
        <w:rPr>
          <w:color w:val="000000"/>
          <w:sz w:val="28"/>
          <w:szCs w:val="28"/>
        </w:rPr>
        <w:t xml:space="preserve">Cependant, plusieurs limites entravent la translation clinique. Les études présentent souvent des effectifs réduits et une hétérogénéité méthodologique </w:t>
      </w:r>
      <w:r w:rsidR="00AB3194" w:rsidRPr="00E971C6">
        <w:rPr>
          <w:color w:val="000000"/>
          <w:sz w:val="28"/>
          <w:szCs w:val="28"/>
        </w:rPr>
        <w:lastRenderedPageBreak/>
        <w:t>importante. Les facteurs confondants, tels que les traitements, l’alimentation ou le mode de vie, influencent fortement les profils métaboliques. De plus, la majorité des études sont transversales, ce qui ne permet pas de distinguer les biomarqueurs d’état des biomarqueurs de trait.</w:t>
      </w:r>
      <w:r w:rsidR="00447A67" w:rsidRPr="00E971C6">
        <w:rPr>
          <w:color w:val="000000"/>
          <w:sz w:val="28"/>
          <w:szCs w:val="28"/>
        </w:rPr>
        <w:t xml:space="preserve"> </w:t>
      </w:r>
      <w:r w:rsidR="00AB3194" w:rsidRPr="00E971C6">
        <w:rPr>
          <w:color w:val="000000"/>
          <w:sz w:val="28"/>
          <w:szCs w:val="28"/>
        </w:rPr>
        <w:t xml:space="preserve">La reproductibilité reste un défi majeur, en raison de la variabilité des techniques analytiques et des protocoles pré-analytiques. L’intégration avec d’autres approches </w:t>
      </w:r>
      <w:proofErr w:type="spellStart"/>
      <w:r w:rsidR="00AB3194" w:rsidRPr="00E971C6">
        <w:rPr>
          <w:color w:val="000000"/>
          <w:sz w:val="28"/>
          <w:szCs w:val="28"/>
        </w:rPr>
        <w:t>omiques</w:t>
      </w:r>
      <w:proofErr w:type="spellEnd"/>
      <w:r w:rsidR="00AB3194" w:rsidRPr="00E971C6">
        <w:rPr>
          <w:color w:val="000000"/>
          <w:sz w:val="28"/>
          <w:szCs w:val="28"/>
        </w:rPr>
        <w:t xml:space="preserve"> (génomique, </w:t>
      </w:r>
      <w:proofErr w:type="spellStart"/>
      <w:r w:rsidR="00AB3194" w:rsidRPr="00E971C6">
        <w:rPr>
          <w:color w:val="000000"/>
          <w:sz w:val="28"/>
          <w:szCs w:val="28"/>
        </w:rPr>
        <w:t>protéomique</w:t>
      </w:r>
      <w:proofErr w:type="spellEnd"/>
      <w:r w:rsidR="00AB3194" w:rsidRPr="00E971C6">
        <w:rPr>
          <w:color w:val="000000"/>
          <w:sz w:val="28"/>
          <w:szCs w:val="28"/>
        </w:rPr>
        <w:t>) est encore limitée, alors qu’elle pourrait améliorer la compréhension des mécanismes sous-jacents.</w:t>
      </w:r>
      <w:r w:rsidR="00447A67" w:rsidRPr="00E971C6">
        <w:rPr>
          <w:color w:val="000000"/>
          <w:sz w:val="28"/>
          <w:szCs w:val="28"/>
        </w:rPr>
        <w:t xml:space="preserve"> </w:t>
      </w:r>
      <w:r w:rsidR="00AB3194" w:rsidRPr="00E971C6">
        <w:rPr>
          <w:color w:val="000000"/>
          <w:sz w:val="28"/>
          <w:szCs w:val="28"/>
        </w:rPr>
        <w:t>L’avenir de la métabolomique en psychiatrie repose sur plusieurs axes : standardisation des protocoles, études longitudinales à grande échelle, approches multi-</w:t>
      </w:r>
      <w:proofErr w:type="spellStart"/>
      <w:r w:rsidR="00AB3194" w:rsidRPr="00E971C6">
        <w:rPr>
          <w:color w:val="000000"/>
          <w:sz w:val="28"/>
          <w:szCs w:val="28"/>
        </w:rPr>
        <w:t>omiques</w:t>
      </w:r>
      <w:proofErr w:type="spellEnd"/>
      <w:r w:rsidR="00AB3194" w:rsidRPr="00E971C6">
        <w:rPr>
          <w:color w:val="000000"/>
          <w:sz w:val="28"/>
          <w:szCs w:val="28"/>
        </w:rPr>
        <w:t xml:space="preserve"> et utilisation de l’intelligence artificielle pour analyser des données complexes. Ces avancées pourraient permettre de mieux caractériser les phénotypes biologiques et de développer des outils prédictifs utiles en clinique.</w:t>
      </w:r>
    </w:p>
    <w:p w14:paraId="6F5F812E" w14:textId="77777777" w:rsidR="00AF4972" w:rsidRPr="00E971C6" w:rsidRDefault="002266ED" w:rsidP="00837BB8">
      <w:pPr>
        <w:pStyle w:val="Titre1"/>
        <w:rPr>
          <w:sz w:val="28"/>
          <w:szCs w:val="28"/>
        </w:rPr>
      </w:pPr>
      <w:r w:rsidRPr="00E971C6">
        <w:rPr>
          <w:sz w:val="28"/>
          <w:szCs w:val="28"/>
        </w:rPr>
        <w:t>Conclusion :</w:t>
      </w:r>
    </w:p>
    <w:p w14:paraId="1B942FE7" w14:textId="1AD0A456" w:rsidR="00447A67" w:rsidRPr="00E971C6" w:rsidRDefault="00447A67" w:rsidP="00447A67">
      <w:pPr>
        <w:pStyle w:val="NormalWeb"/>
        <w:jc w:val="both"/>
        <w:rPr>
          <w:color w:val="000000"/>
          <w:sz w:val="28"/>
          <w:szCs w:val="28"/>
        </w:rPr>
      </w:pPr>
      <w:r w:rsidRPr="00E971C6">
        <w:rPr>
          <w:color w:val="000000"/>
          <w:sz w:val="28"/>
          <w:szCs w:val="28"/>
        </w:rPr>
        <w:t xml:space="preserve"> La métabolomique représente une approche prometteuse pour la psychiatrie de précision, en offrant une vision intégrée et dynamique des processus biologiques impliqués dans les troubles mentaux. Les études actuelles ont permis d’identifier des altérations métaboliques récurrentes dans plusieurs pathologies, notamment la schizophrénie, le trouble bipolaire et la dépression. Ces perturbations concernent principalement le métabolisme des acides aminés, des lipides, de l’énergie et du stress oxydatif, suggérant des mécanismes physiopathologiques communs. Toutefois, malgré ces avancées, l’application clinique reste limitée en raison de problèmes de reproductibilité, de taille d’échantillon et de standardisation. Pour permettre une réelle translation vers la pratique clinique, il est nécessaire de développer des études longitudinales, d’harmoniser les méthodes et d’intégrer les données métabolomiques avec d’autres niveaux biologiques. L’utilisation de l’intelligence artificielle pourrait également jouer un rôle clé dans l’identification de biomarqueurs robustes. À terme, la métabolomique pourrait contribuer à une meilleure stratification des patients, à la prédiction de la réponse aux traitements et à une personnalisation des soins en psychiatrie, marquant ainsi une évolution majeure vers une médecine plus précise et individualisée.</w:t>
      </w:r>
    </w:p>
    <w:p w14:paraId="3B55318B" w14:textId="77777777" w:rsidR="00B40341" w:rsidRPr="00E971C6" w:rsidRDefault="00B40341" w:rsidP="00B40341">
      <w:pPr>
        <w:rPr>
          <w:sz w:val="28"/>
          <w:szCs w:val="28"/>
          <w:lang w:val="fr-MA"/>
        </w:rPr>
      </w:pPr>
    </w:p>
    <w:p w14:paraId="24D5BF7C" w14:textId="77777777" w:rsidR="00AD7941" w:rsidRPr="00E971C6" w:rsidRDefault="00AD7941" w:rsidP="00247D98">
      <w:pPr>
        <w:spacing w:after="0" w:line="240" w:lineRule="auto"/>
        <w:jc w:val="center"/>
        <w:rPr>
          <w:rFonts w:asciiTheme="majorBidi" w:hAnsiTheme="majorBidi" w:cstheme="majorBidi"/>
          <w:sz w:val="28"/>
          <w:szCs w:val="28"/>
        </w:rPr>
      </w:pPr>
    </w:p>
    <w:p w14:paraId="33A5754A" w14:textId="77777777" w:rsidR="00BB69E7" w:rsidRPr="00E971C6" w:rsidRDefault="00C732D8" w:rsidP="00247D98">
      <w:pPr>
        <w:spacing w:after="0" w:line="240" w:lineRule="auto"/>
        <w:jc w:val="center"/>
        <w:rPr>
          <w:rFonts w:asciiTheme="majorBidi" w:hAnsiTheme="majorBidi" w:cstheme="majorBidi"/>
          <w:sz w:val="28"/>
          <w:szCs w:val="28"/>
        </w:rPr>
      </w:pPr>
      <w:r w:rsidRPr="00E971C6">
        <w:rPr>
          <w:rFonts w:asciiTheme="majorBidi" w:hAnsiTheme="majorBidi" w:cstheme="majorBidi"/>
          <w:sz w:val="28"/>
          <w:szCs w:val="28"/>
        </w:rPr>
        <w:t xml:space="preserve">Traduit de l’anglais et </w:t>
      </w:r>
      <w:r w:rsidR="00BB69E7" w:rsidRPr="00E971C6">
        <w:rPr>
          <w:rFonts w:asciiTheme="majorBidi" w:hAnsiTheme="majorBidi" w:cstheme="majorBidi"/>
          <w:sz w:val="28"/>
          <w:szCs w:val="28"/>
        </w:rPr>
        <w:t>synthétisé par :</w:t>
      </w:r>
    </w:p>
    <w:p w14:paraId="2CD3101B" w14:textId="7CE4C75F" w:rsidR="002266ED" w:rsidRPr="00E971C6" w:rsidRDefault="00BB69E7" w:rsidP="00247D98">
      <w:pPr>
        <w:spacing w:after="0" w:line="240" w:lineRule="auto"/>
        <w:jc w:val="center"/>
        <w:rPr>
          <w:rFonts w:asciiTheme="majorBidi" w:hAnsiTheme="majorBidi" w:cstheme="majorBidi"/>
          <w:sz w:val="28"/>
          <w:szCs w:val="28"/>
        </w:rPr>
      </w:pPr>
      <w:r w:rsidRPr="00E971C6">
        <w:rPr>
          <w:rFonts w:asciiTheme="majorBidi" w:hAnsiTheme="majorBidi" w:cstheme="majorBidi"/>
          <w:sz w:val="28"/>
          <w:szCs w:val="28"/>
        </w:rPr>
        <w:t xml:space="preserve"> Dr LAMZALLA MOHAMED </w:t>
      </w:r>
    </w:p>
    <w:p w14:paraId="381DB4D3" w14:textId="695FABF0" w:rsidR="00247D98" w:rsidRPr="00E971C6" w:rsidRDefault="00AB3194" w:rsidP="00247D98">
      <w:pPr>
        <w:spacing w:after="0" w:line="240" w:lineRule="auto"/>
        <w:jc w:val="center"/>
        <w:rPr>
          <w:rFonts w:asciiTheme="majorBidi" w:hAnsiTheme="majorBidi" w:cstheme="majorBidi"/>
          <w:sz w:val="28"/>
          <w:szCs w:val="28"/>
        </w:rPr>
      </w:pPr>
      <w:r w:rsidRPr="00E971C6">
        <w:rPr>
          <w:rFonts w:asciiTheme="majorBidi" w:hAnsiTheme="majorBidi" w:cstheme="majorBidi"/>
          <w:sz w:val="28"/>
          <w:szCs w:val="28"/>
        </w:rPr>
        <w:t xml:space="preserve">Centre psychiatrique universitaire </w:t>
      </w:r>
      <w:r w:rsidR="00247D98" w:rsidRPr="00E971C6">
        <w:rPr>
          <w:rFonts w:asciiTheme="majorBidi" w:hAnsiTheme="majorBidi" w:cstheme="majorBidi"/>
          <w:sz w:val="28"/>
          <w:szCs w:val="28"/>
        </w:rPr>
        <w:t xml:space="preserve"> – CHU </w:t>
      </w:r>
      <w:r w:rsidR="00B40341" w:rsidRPr="00E971C6">
        <w:rPr>
          <w:rFonts w:asciiTheme="majorBidi" w:hAnsiTheme="majorBidi" w:cstheme="majorBidi"/>
          <w:sz w:val="28"/>
          <w:szCs w:val="28"/>
        </w:rPr>
        <w:t>Mohammed VI</w:t>
      </w:r>
    </w:p>
    <w:p w14:paraId="66AED466" w14:textId="0F098F80" w:rsidR="00247D98" w:rsidRPr="00E971C6" w:rsidRDefault="00AB3194" w:rsidP="00247D98">
      <w:pPr>
        <w:spacing w:after="0" w:line="240" w:lineRule="auto"/>
        <w:jc w:val="center"/>
        <w:rPr>
          <w:rFonts w:asciiTheme="majorBidi" w:hAnsiTheme="majorBidi" w:cstheme="majorBidi"/>
          <w:sz w:val="28"/>
          <w:szCs w:val="28"/>
        </w:rPr>
      </w:pPr>
      <w:r w:rsidRPr="00E971C6">
        <w:rPr>
          <w:rFonts w:asciiTheme="majorBidi" w:hAnsiTheme="majorBidi" w:cstheme="majorBidi"/>
          <w:sz w:val="28"/>
          <w:szCs w:val="28"/>
        </w:rPr>
        <w:t xml:space="preserve">Mars </w:t>
      </w:r>
      <w:r w:rsidR="00247D98" w:rsidRPr="00E971C6">
        <w:rPr>
          <w:rFonts w:asciiTheme="majorBidi" w:hAnsiTheme="majorBidi" w:cstheme="majorBidi"/>
          <w:sz w:val="28"/>
          <w:szCs w:val="28"/>
        </w:rPr>
        <w:t>202</w:t>
      </w:r>
      <w:r w:rsidRPr="00E971C6">
        <w:rPr>
          <w:rFonts w:asciiTheme="majorBidi" w:hAnsiTheme="majorBidi" w:cstheme="majorBidi"/>
          <w:sz w:val="28"/>
          <w:szCs w:val="28"/>
        </w:rPr>
        <w:t>6</w:t>
      </w:r>
    </w:p>
    <w:p w14:paraId="5C172D69" w14:textId="77777777" w:rsidR="00247D98" w:rsidRPr="00E971C6" w:rsidRDefault="00247D98" w:rsidP="00247D98">
      <w:pPr>
        <w:spacing w:after="0"/>
        <w:jc w:val="both"/>
        <w:rPr>
          <w:rFonts w:asciiTheme="majorBidi" w:hAnsiTheme="majorBidi" w:cstheme="majorBidi"/>
          <w:strike/>
          <w:sz w:val="28"/>
          <w:szCs w:val="28"/>
        </w:rPr>
      </w:pPr>
    </w:p>
    <w:sectPr w:rsidR="00247D98" w:rsidRPr="00E971C6" w:rsidSect="00247D98">
      <w:headerReference w:type="default" r:id="rId9"/>
      <w:pgSz w:w="11906" w:h="16838"/>
      <w:pgMar w:top="1560" w:right="141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D78F8" w14:textId="77777777" w:rsidR="008C10EF" w:rsidRDefault="008C10EF" w:rsidP="00247D98">
      <w:pPr>
        <w:spacing w:after="0" w:line="240" w:lineRule="auto"/>
      </w:pPr>
      <w:r>
        <w:separator/>
      </w:r>
    </w:p>
  </w:endnote>
  <w:endnote w:type="continuationSeparator" w:id="0">
    <w:p w14:paraId="044584B2" w14:textId="77777777" w:rsidR="008C10EF" w:rsidRDefault="008C10EF" w:rsidP="0024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38179" w14:textId="77777777" w:rsidR="008C10EF" w:rsidRDefault="008C10EF" w:rsidP="00247D98">
      <w:pPr>
        <w:spacing w:after="0" w:line="240" w:lineRule="auto"/>
      </w:pPr>
      <w:r>
        <w:separator/>
      </w:r>
    </w:p>
  </w:footnote>
  <w:footnote w:type="continuationSeparator" w:id="0">
    <w:p w14:paraId="6CA030C9" w14:textId="77777777" w:rsidR="008C10EF" w:rsidRDefault="008C10EF" w:rsidP="0024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6EB" w14:textId="77777777" w:rsidR="00247D98" w:rsidRPr="00E971C6" w:rsidRDefault="00247D98">
    <w:pPr>
      <w:pStyle w:val="En-tte"/>
      <w:rPr>
        <w:lang w:val="en-GB"/>
      </w:rPr>
    </w:pPr>
    <w:r w:rsidRPr="00E971C6">
      <w:rPr>
        <w:lang w:val="en-GB"/>
      </w:rPr>
      <w:t>FMPA, CPU D’AGADIR</w:t>
    </w:r>
  </w:p>
  <w:p w14:paraId="5D87138F" w14:textId="0E3C799D" w:rsidR="00247D98" w:rsidRPr="00E971C6" w:rsidRDefault="00247D98">
    <w:pPr>
      <w:pStyle w:val="En-tte"/>
      <w:rPr>
        <w:lang w:val="en-GB"/>
      </w:rPr>
    </w:pPr>
    <w:r w:rsidRPr="00E971C6">
      <w:rPr>
        <w:lang w:val="en-GB"/>
      </w:rPr>
      <w:t xml:space="preserve">CHU </w:t>
    </w:r>
    <w:r w:rsidR="00B40341" w:rsidRPr="00E971C6">
      <w:rPr>
        <w:lang w:val="en-GB"/>
      </w:rPr>
      <w:t>Mohammed VI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E04A5"/>
    <w:multiLevelType w:val="hybridMultilevel"/>
    <w:tmpl w:val="A948A5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6A3B9B"/>
    <w:multiLevelType w:val="hybridMultilevel"/>
    <w:tmpl w:val="C8F60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D7"/>
    <w:rsid w:val="00005CE0"/>
    <w:rsid w:val="00006FDB"/>
    <w:rsid w:val="00010CE2"/>
    <w:rsid w:val="00011D05"/>
    <w:rsid w:val="000149AA"/>
    <w:rsid w:val="000549E2"/>
    <w:rsid w:val="00060A5B"/>
    <w:rsid w:val="00066978"/>
    <w:rsid w:val="00091F68"/>
    <w:rsid w:val="00124007"/>
    <w:rsid w:val="001543F5"/>
    <w:rsid w:val="00155377"/>
    <w:rsid w:val="00157D4A"/>
    <w:rsid w:val="001F091E"/>
    <w:rsid w:val="001F4FD7"/>
    <w:rsid w:val="00212063"/>
    <w:rsid w:val="002152AD"/>
    <w:rsid w:val="002266ED"/>
    <w:rsid w:val="00237A7D"/>
    <w:rsid w:val="00244B3F"/>
    <w:rsid w:val="00247D98"/>
    <w:rsid w:val="00250982"/>
    <w:rsid w:val="00273115"/>
    <w:rsid w:val="00273C99"/>
    <w:rsid w:val="002771E4"/>
    <w:rsid w:val="00284A15"/>
    <w:rsid w:val="002B3A22"/>
    <w:rsid w:val="002C489E"/>
    <w:rsid w:val="002D6E07"/>
    <w:rsid w:val="002F6AC5"/>
    <w:rsid w:val="00306E7F"/>
    <w:rsid w:val="00327C02"/>
    <w:rsid w:val="00340D17"/>
    <w:rsid w:val="0035701B"/>
    <w:rsid w:val="0038456F"/>
    <w:rsid w:val="003E029A"/>
    <w:rsid w:val="003E5BD7"/>
    <w:rsid w:val="003F6478"/>
    <w:rsid w:val="00420B43"/>
    <w:rsid w:val="00447A67"/>
    <w:rsid w:val="00476520"/>
    <w:rsid w:val="00476FE6"/>
    <w:rsid w:val="00484AA1"/>
    <w:rsid w:val="0048652C"/>
    <w:rsid w:val="004D16C8"/>
    <w:rsid w:val="004E716B"/>
    <w:rsid w:val="005460FE"/>
    <w:rsid w:val="005517A3"/>
    <w:rsid w:val="0055634D"/>
    <w:rsid w:val="005608BD"/>
    <w:rsid w:val="0057089F"/>
    <w:rsid w:val="00581DC3"/>
    <w:rsid w:val="005C1204"/>
    <w:rsid w:val="005E4653"/>
    <w:rsid w:val="005F3F9D"/>
    <w:rsid w:val="006276F6"/>
    <w:rsid w:val="00627B87"/>
    <w:rsid w:val="0066088A"/>
    <w:rsid w:val="006B4822"/>
    <w:rsid w:val="006C487B"/>
    <w:rsid w:val="006C49A9"/>
    <w:rsid w:val="006D1DE1"/>
    <w:rsid w:val="006D3A01"/>
    <w:rsid w:val="006D722C"/>
    <w:rsid w:val="006F1866"/>
    <w:rsid w:val="0073398A"/>
    <w:rsid w:val="00736CA5"/>
    <w:rsid w:val="007B4A8C"/>
    <w:rsid w:val="008261C4"/>
    <w:rsid w:val="00837BB8"/>
    <w:rsid w:val="008403E0"/>
    <w:rsid w:val="00864C4C"/>
    <w:rsid w:val="00865965"/>
    <w:rsid w:val="008935FC"/>
    <w:rsid w:val="00893D19"/>
    <w:rsid w:val="008C10EF"/>
    <w:rsid w:val="0090190B"/>
    <w:rsid w:val="00925CFD"/>
    <w:rsid w:val="00987896"/>
    <w:rsid w:val="00994733"/>
    <w:rsid w:val="009C6691"/>
    <w:rsid w:val="009D4434"/>
    <w:rsid w:val="009E101B"/>
    <w:rsid w:val="00A317E0"/>
    <w:rsid w:val="00A373B0"/>
    <w:rsid w:val="00A5185C"/>
    <w:rsid w:val="00A559E2"/>
    <w:rsid w:val="00A67928"/>
    <w:rsid w:val="00A87D23"/>
    <w:rsid w:val="00AB1140"/>
    <w:rsid w:val="00AB3194"/>
    <w:rsid w:val="00AD7941"/>
    <w:rsid w:val="00AF4972"/>
    <w:rsid w:val="00B40341"/>
    <w:rsid w:val="00B70E4B"/>
    <w:rsid w:val="00BB69E7"/>
    <w:rsid w:val="00BF41E3"/>
    <w:rsid w:val="00C4730F"/>
    <w:rsid w:val="00C70356"/>
    <w:rsid w:val="00C732D8"/>
    <w:rsid w:val="00C8077E"/>
    <w:rsid w:val="00C87A21"/>
    <w:rsid w:val="00C94B1F"/>
    <w:rsid w:val="00CC1A85"/>
    <w:rsid w:val="00CF137A"/>
    <w:rsid w:val="00CF1488"/>
    <w:rsid w:val="00D06EED"/>
    <w:rsid w:val="00D316E2"/>
    <w:rsid w:val="00D32E9C"/>
    <w:rsid w:val="00D3641A"/>
    <w:rsid w:val="00D64F14"/>
    <w:rsid w:val="00D74400"/>
    <w:rsid w:val="00DA4EF2"/>
    <w:rsid w:val="00DE7C91"/>
    <w:rsid w:val="00E10783"/>
    <w:rsid w:val="00E370F0"/>
    <w:rsid w:val="00E5170C"/>
    <w:rsid w:val="00E64E63"/>
    <w:rsid w:val="00E65FDA"/>
    <w:rsid w:val="00E91110"/>
    <w:rsid w:val="00E971C6"/>
    <w:rsid w:val="00EB5E81"/>
    <w:rsid w:val="00ED72F6"/>
    <w:rsid w:val="00F0438F"/>
    <w:rsid w:val="00F126B1"/>
    <w:rsid w:val="00F30EE1"/>
    <w:rsid w:val="00F5343E"/>
    <w:rsid w:val="00FC39C3"/>
    <w:rsid w:val="00FE71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24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E0"/>
    <w:rPr>
      <w:noProof/>
      <w:lang w:bidi="ar-MA"/>
    </w:rPr>
  </w:style>
  <w:style w:type="paragraph" w:styleId="Titre1">
    <w:name w:val="heading 1"/>
    <w:basedOn w:val="Normal"/>
    <w:next w:val="Normal"/>
    <w:link w:val="Titre1Car"/>
    <w:uiPriority w:val="9"/>
    <w:qFormat/>
    <w:rsid w:val="00837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AB31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3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5FC"/>
    <w:rPr>
      <w:rFonts w:ascii="Tahoma" w:hAnsi="Tahoma" w:cs="Tahoma"/>
      <w:noProof/>
      <w:sz w:val="16"/>
      <w:szCs w:val="16"/>
      <w:lang w:bidi="ar-MA"/>
    </w:rPr>
  </w:style>
  <w:style w:type="paragraph" w:styleId="En-tte">
    <w:name w:val="header"/>
    <w:basedOn w:val="Normal"/>
    <w:link w:val="En-tteCar"/>
    <w:uiPriority w:val="99"/>
    <w:unhideWhenUsed/>
    <w:rsid w:val="00247D98"/>
    <w:pPr>
      <w:tabs>
        <w:tab w:val="center" w:pos="4536"/>
        <w:tab w:val="right" w:pos="9072"/>
      </w:tabs>
      <w:spacing w:after="0" w:line="240" w:lineRule="auto"/>
    </w:pPr>
  </w:style>
  <w:style w:type="character" w:customStyle="1" w:styleId="En-tteCar">
    <w:name w:val="En-tête Car"/>
    <w:basedOn w:val="Policepardfaut"/>
    <w:link w:val="En-tte"/>
    <w:uiPriority w:val="99"/>
    <w:rsid w:val="00247D98"/>
    <w:rPr>
      <w:noProof/>
      <w:lang w:bidi="ar-MA"/>
    </w:rPr>
  </w:style>
  <w:style w:type="paragraph" w:styleId="Pieddepage">
    <w:name w:val="footer"/>
    <w:basedOn w:val="Normal"/>
    <w:link w:val="PieddepageCar"/>
    <w:uiPriority w:val="99"/>
    <w:unhideWhenUsed/>
    <w:rsid w:val="00247D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D98"/>
    <w:rPr>
      <w:noProof/>
      <w:lang w:bidi="ar-MA"/>
    </w:rPr>
  </w:style>
  <w:style w:type="paragraph" w:styleId="NormalWeb">
    <w:name w:val="Normal (Web)"/>
    <w:basedOn w:val="Normal"/>
    <w:uiPriority w:val="99"/>
    <w:unhideWhenUsed/>
    <w:rsid w:val="00837BB8"/>
    <w:pPr>
      <w:spacing w:before="100" w:beforeAutospacing="1" w:after="100" w:afterAutospacing="1" w:line="240" w:lineRule="auto"/>
    </w:pPr>
    <w:rPr>
      <w:rFonts w:ascii="Times New Roman" w:eastAsia="Times New Roman" w:hAnsi="Times New Roman" w:cs="Times New Roman"/>
      <w:noProof w:val="0"/>
      <w:sz w:val="24"/>
      <w:szCs w:val="24"/>
      <w:lang w:val="fr-MA" w:eastAsia="fr-FR" w:bidi="ar-SA"/>
    </w:rPr>
  </w:style>
  <w:style w:type="character" w:customStyle="1" w:styleId="Titre1Car">
    <w:name w:val="Titre 1 Car"/>
    <w:basedOn w:val="Policepardfaut"/>
    <w:link w:val="Titre1"/>
    <w:uiPriority w:val="9"/>
    <w:rsid w:val="00837BB8"/>
    <w:rPr>
      <w:rFonts w:asciiTheme="majorHAnsi" w:eastAsiaTheme="majorEastAsia" w:hAnsiTheme="majorHAnsi" w:cstheme="majorBidi"/>
      <w:noProof/>
      <w:color w:val="365F91" w:themeColor="accent1" w:themeShade="BF"/>
      <w:sz w:val="32"/>
      <w:szCs w:val="32"/>
      <w:lang w:bidi="ar-MA"/>
    </w:rPr>
  </w:style>
  <w:style w:type="character" w:customStyle="1" w:styleId="Titre3Car">
    <w:name w:val="Titre 3 Car"/>
    <w:basedOn w:val="Policepardfaut"/>
    <w:link w:val="Titre3"/>
    <w:uiPriority w:val="9"/>
    <w:rsid w:val="00AB3194"/>
    <w:rPr>
      <w:rFonts w:asciiTheme="majorHAnsi" w:eastAsiaTheme="majorEastAsia" w:hAnsiTheme="majorHAnsi" w:cstheme="majorBidi"/>
      <w:noProof/>
      <w:color w:val="243F60" w:themeColor="accent1" w:themeShade="7F"/>
      <w:sz w:val="24"/>
      <w:szCs w:val="24"/>
      <w:lang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85585">
      <w:bodyDiv w:val="1"/>
      <w:marLeft w:val="0"/>
      <w:marRight w:val="0"/>
      <w:marTop w:val="0"/>
      <w:marBottom w:val="0"/>
      <w:divBdr>
        <w:top w:val="none" w:sz="0" w:space="0" w:color="auto"/>
        <w:left w:val="none" w:sz="0" w:space="0" w:color="auto"/>
        <w:bottom w:val="none" w:sz="0" w:space="0" w:color="auto"/>
        <w:right w:val="none" w:sz="0" w:space="0" w:color="auto"/>
      </w:divBdr>
    </w:div>
    <w:div w:id="541285422">
      <w:bodyDiv w:val="1"/>
      <w:marLeft w:val="0"/>
      <w:marRight w:val="0"/>
      <w:marTop w:val="0"/>
      <w:marBottom w:val="0"/>
      <w:divBdr>
        <w:top w:val="none" w:sz="0" w:space="0" w:color="auto"/>
        <w:left w:val="none" w:sz="0" w:space="0" w:color="auto"/>
        <w:bottom w:val="none" w:sz="0" w:space="0" w:color="auto"/>
        <w:right w:val="none" w:sz="0" w:space="0" w:color="auto"/>
      </w:divBdr>
    </w:div>
    <w:div w:id="799345200">
      <w:bodyDiv w:val="1"/>
      <w:marLeft w:val="0"/>
      <w:marRight w:val="0"/>
      <w:marTop w:val="0"/>
      <w:marBottom w:val="0"/>
      <w:divBdr>
        <w:top w:val="none" w:sz="0" w:space="0" w:color="auto"/>
        <w:left w:val="none" w:sz="0" w:space="0" w:color="auto"/>
        <w:bottom w:val="none" w:sz="0" w:space="0" w:color="auto"/>
        <w:right w:val="none" w:sz="0" w:space="0" w:color="auto"/>
      </w:divBdr>
    </w:div>
    <w:div w:id="849877973">
      <w:bodyDiv w:val="1"/>
      <w:marLeft w:val="0"/>
      <w:marRight w:val="0"/>
      <w:marTop w:val="0"/>
      <w:marBottom w:val="0"/>
      <w:divBdr>
        <w:top w:val="none" w:sz="0" w:space="0" w:color="auto"/>
        <w:left w:val="none" w:sz="0" w:space="0" w:color="auto"/>
        <w:bottom w:val="none" w:sz="0" w:space="0" w:color="auto"/>
        <w:right w:val="none" w:sz="0" w:space="0" w:color="auto"/>
      </w:divBdr>
    </w:div>
    <w:div w:id="897086632">
      <w:bodyDiv w:val="1"/>
      <w:marLeft w:val="0"/>
      <w:marRight w:val="0"/>
      <w:marTop w:val="0"/>
      <w:marBottom w:val="0"/>
      <w:divBdr>
        <w:top w:val="none" w:sz="0" w:space="0" w:color="auto"/>
        <w:left w:val="none" w:sz="0" w:space="0" w:color="auto"/>
        <w:bottom w:val="none" w:sz="0" w:space="0" w:color="auto"/>
        <w:right w:val="none" w:sz="0" w:space="0" w:color="auto"/>
      </w:divBdr>
      <w:divsChild>
        <w:div w:id="762382442">
          <w:marLeft w:val="0"/>
          <w:marRight w:val="0"/>
          <w:marTop w:val="0"/>
          <w:marBottom w:val="0"/>
          <w:divBdr>
            <w:top w:val="none" w:sz="0" w:space="0" w:color="auto"/>
            <w:left w:val="none" w:sz="0" w:space="0" w:color="auto"/>
            <w:bottom w:val="none" w:sz="0" w:space="0" w:color="auto"/>
            <w:right w:val="none" w:sz="0" w:space="0" w:color="auto"/>
          </w:divBdr>
        </w:div>
        <w:div w:id="1610895834">
          <w:marLeft w:val="0"/>
          <w:marRight w:val="0"/>
          <w:marTop w:val="0"/>
          <w:marBottom w:val="0"/>
          <w:divBdr>
            <w:top w:val="none" w:sz="0" w:space="0" w:color="auto"/>
            <w:left w:val="none" w:sz="0" w:space="0" w:color="auto"/>
            <w:bottom w:val="none" w:sz="0" w:space="0" w:color="auto"/>
            <w:right w:val="none" w:sz="0" w:space="0" w:color="auto"/>
          </w:divBdr>
          <w:divsChild>
            <w:div w:id="1888906547">
              <w:marLeft w:val="0"/>
              <w:marRight w:val="0"/>
              <w:marTop w:val="0"/>
              <w:marBottom w:val="0"/>
              <w:divBdr>
                <w:top w:val="none" w:sz="0" w:space="0" w:color="auto"/>
                <w:left w:val="none" w:sz="0" w:space="0" w:color="auto"/>
                <w:bottom w:val="none" w:sz="0" w:space="0" w:color="auto"/>
                <w:right w:val="none" w:sz="0" w:space="0" w:color="auto"/>
              </w:divBdr>
              <w:divsChild>
                <w:div w:id="1712270320">
                  <w:marLeft w:val="0"/>
                  <w:marRight w:val="0"/>
                  <w:marTop w:val="0"/>
                  <w:marBottom w:val="0"/>
                  <w:divBdr>
                    <w:top w:val="none" w:sz="0" w:space="0" w:color="auto"/>
                    <w:left w:val="none" w:sz="0" w:space="0" w:color="auto"/>
                    <w:bottom w:val="none" w:sz="0" w:space="0" w:color="auto"/>
                    <w:right w:val="none" w:sz="0" w:space="0" w:color="auto"/>
                  </w:divBdr>
                </w:div>
                <w:div w:id="817116297">
                  <w:marLeft w:val="0"/>
                  <w:marRight w:val="0"/>
                  <w:marTop w:val="100"/>
                  <w:marBottom w:val="0"/>
                  <w:divBdr>
                    <w:top w:val="none" w:sz="0" w:space="0" w:color="auto"/>
                    <w:left w:val="none" w:sz="0" w:space="0" w:color="auto"/>
                    <w:bottom w:val="none" w:sz="0" w:space="0" w:color="auto"/>
                    <w:right w:val="none" w:sz="0" w:space="0" w:color="auto"/>
                  </w:divBdr>
                  <w:divsChild>
                    <w:div w:id="1440294252">
                      <w:marLeft w:val="0"/>
                      <w:marRight w:val="0"/>
                      <w:marTop w:val="0"/>
                      <w:marBottom w:val="0"/>
                      <w:divBdr>
                        <w:top w:val="none" w:sz="0" w:space="0" w:color="auto"/>
                        <w:left w:val="none" w:sz="0" w:space="0" w:color="auto"/>
                        <w:bottom w:val="none" w:sz="0" w:space="0" w:color="auto"/>
                        <w:right w:val="none" w:sz="0" w:space="0" w:color="auto"/>
                      </w:divBdr>
                      <w:divsChild>
                        <w:div w:id="1676228811">
                          <w:marLeft w:val="0"/>
                          <w:marRight w:val="0"/>
                          <w:marTop w:val="60"/>
                          <w:marBottom w:val="0"/>
                          <w:divBdr>
                            <w:top w:val="none" w:sz="0" w:space="0" w:color="auto"/>
                            <w:left w:val="none" w:sz="0" w:space="0" w:color="auto"/>
                            <w:bottom w:val="none" w:sz="0" w:space="0" w:color="auto"/>
                            <w:right w:val="none" w:sz="0" w:space="0" w:color="auto"/>
                          </w:divBdr>
                          <w:divsChild>
                            <w:div w:id="728260444">
                              <w:marLeft w:val="0"/>
                              <w:marRight w:val="0"/>
                              <w:marTop w:val="0"/>
                              <w:marBottom w:val="0"/>
                              <w:divBdr>
                                <w:top w:val="none" w:sz="0" w:space="0" w:color="auto"/>
                                <w:left w:val="none" w:sz="0" w:space="0" w:color="auto"/>
                                <w:bottom w:val="none" w:sz="0" w:space="0" w:color="auto"/>
                                <w:right w:val="none" w:sz="0" w:space="0" w:color="auto"/>
                              </w:divBdr>
                              <w:divsChild>
                                <w:div w:id="2081293820">
                                  <w:marLeft w:val="0"/>
                                  <w:marRight w:val="0"/>
                                  <w:marTop w:val="0"/>
                                  <w:marBottom w:val="0"/>
                                  <w:divBdr>
                                    <w:top w:val="none" w:sz="0" w:space="0" w:color="auto"/>
                                    <w:left w:val="none" w:sz="0" w:space="0" w:color="auto"/>
                                    <w:bottom w:val="none" w:sz="0" w:space="0" w:color="auto"/>
                                    <w:right w:val="none" w:sz="0" w:space="0" w:color="auto"/>
                                  </w:divBdr>
                                  <w:divsChild>
                                    <w:div w:id="1052313724">
                                      <w:marLeft w:val="0"/>
                                      <w:marRight w:val="0"/>
                                      <w:marTop w:val="0"/>
                                      <w:marBottom w:val="0"/>
                                      <w:divBdr>
                                        <w:top w:val="none" w:sz="0" w:space="0" w:color="auto"/>
                                        <w:left w:val="none" w:sz="0" w:space="0" w:color="auto"/>
                                        <w:bottom w:val="none" w:sz="0" w:space="0" w:color="auto"/>
                                        <w:right w:val="none" w:sz="0" w:space="0" w:color="auto"/>
                                      </w:divBdr>
                                      <w:divsChild>
                                        <w:div w:id="1892812735">
                                          <w:marLeft w:val="0"/>
                                          <w:marRight w:val="0"/>
                                          <w:marTop w:val="0"/>
                                          <w:marBottom w:val="0"/>
                                          <w:divBdr>
                                            <w:top w:val="none" w:sz="0" w:space="0" w:color="auto"/>
                                            <w:left w:val="none" w:sz="0" w:space="0" w:color="auto"/>
                                            <w:bottom w:val="none" w:sz="0" w:space="0" w:color="auto"/>
                                            <w:right w:val="none" w:sz="0" w:space="0" w:color="auto"/>
                                          </w:divBdr>
                                          <w:divsChild>
                                            <w:div w:id="479002967">
                                              <w:marLeft w:val="0"/>
                                              <w:marRight w:val="0"/>
                                              <w:marTop w:val="0"/>
                                              <w:marBottom w:val="0"/>
                                              <w:divBdr>
                                                <w:top w:val="none" w:sz="0" w:space="0" w:color="auto"/>
                                                <w:left w:val="none" w:sz="0" w:space="0" w:color="auto"/>
                                                <w:bottom w:val="none" w:sz="0" w:space="0" w:color="auto"/>
                                                <w:right w:val="none" w:sz="0" w:space="0" w:color="auto"/>
                                              </w:divBdr>
                                              <w:divsChild>
                                                <w:div w:id="6016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539921">
      <w:bodyDiv w:val="1"/>
      <w:marLeft w:val="0"/>
      <w:marRight w:val="0"/>
      <w:marTop w:val="0"/>
      <w:marBottom w:val="0"/>
      <w:divBdr>
        <w:top w:val="none" w:sz="0" w:space="0" w:color="auto"/>
        <w:left w:val="none" w:sz="0" w:space="0" w:color="auto"/>
        <w:bottom w:val="none" w:sz="0" w:space="0" w:color="auto"/>
        <w:right w:val="none" w:sz="0" w:space="0" w:color="auto"/>
      </w:divBdr>
      <w:divsChild>
        <w:div w:id="1485462512">
          <w:marLeft w:val="0"/>
          <w:marRight w:val="0"/>
          <w:marTop w:val="0"/>
          <w:marBottom w:val="0"/>
          <w:divBdr>
            <w:top w:val="none" w:sz="0" w:space="0" w:color="auto"/>
            <w:left w:val="none" w:sz="0" w:space="0" w:color="auto"/>
            <w:bottom w:val="none" w:sz="0" w:space="0" w:color="auto"/>
            <w:right w:val="none" w:sz="0" w:space="0" w:color="auto"/>
          </w:divBdr>
        </w:div>
        <w:div w:id="128476318">
          <w:marLeft w:val="0"/>
          <w:marRight w:val="0"/>
          <w:marTop w:val="0"/>
          <w:marBottom w:val="0"/>
          <w:divBdr>
            <w:top w:val="none" w:sz="0" w:space="0" w:color="auto"/>
            <w:left w:val="none" w:sz="0" w:space="0" w:color="auto"/>
            <w:bottom w:val="none" w:sz="0" w:space="0" w:color="auto"/>
            <w:right w:val="none" w:sz="0" w:space="0" w:color="auto"/>
          </w:divBdr>
          <w:divsChild>
            <w:div w:id="1978098391">
              <w:marLeft w:val="0"/>
              <w:marRight w:val="0"/>
              <w:marTop w:val="0"/>
              <w:marBottom w:val="0"/>
              <w:divBdr>
                <w:top w:val="none" w:sz="0" w:space="0" w:color="auto"/>
                <w:left w:val="none" w:sz="0" w:space="0" w:color="auto"/>
                <w:bottom w:val="none" w:sz="0" w:space="0" w:color="auto"/>
                <w:right w:val="none" w:sz="0" w:space="0" w:color="auto"/>
              </w:divBdr>
              <w:divsChild>
                <w:div w:id="661742780">
                  <w:marLeft w:val="0"/>
                  <w:marRight w:val="0"/>
                  <w:marTop w:val="0"/>
                  <w:marBottom w:val="0"/>
                  <w:divBdr>
                    <w:top w:val="none" w:sz="0" w:space="0" w:color="auto"/>
                    <w:left w:val="none" w:sz="0" w:space="0" w:color="auto"/>
                    <w:bottom w:val="none" w:sz="0" w:space="0" w:color="auto"/>
                    <w:right w:val="none" w:sz="0" w:space="0" w:color="auto"/>
                  </w:divBdr>
                </w:div>
                <w:div w:id="1787239562">
                  <w:marLeft w:val="0"/>
                  <w:marRight w:val="0"/>
                  <w:marTop w:val="100"/>
                  <w:marBottom w:val="0"/>
                  <w:divBdr>
                    <w:top w:val="none" w:sz="0" w:space="0" w:color="auto"/>
                    <w:left w:val="none" w:sz="0" w:space="0" w:color="auto"/>
                    <w:bottom w:val="none" w:sz="0" w:space="0" w:color="auto"/>
                    <w:right w:val="none" w:sz="0" w:space="0" w:color="auto"/>
                  </w:divBdr>
                  <w:divsChild>
                    <w:div w:id="116140678">
                      <w:marLeft w:val="0"/>
                      <w:marRight w:val="0"/>
                      <w:marTop w:val="0"/>
                      <w:marBottom w:val="0"/>
                      <w:divBdr>
                        <w:top w:val="none" w:sz="0" w:space="0" w:color="auto"/>
                        <w:left w:val="none" w:sz="0" w:space="0" w:color="auto"/>
                        <w:bottom w:val="none" w:sz="0" w:space="0" w:color="auto"/>
                        <w:right w:val="none" w:sz="0" w:space="0" w:color="auto"/>
                      </w:divBdr>
                      <w:divsChild>
                        <w:div w:id="1816138523">
                          <w:marLeft w:val="0"/>
                          <w:marRight w:val="0"/>
                          <w:marTop w:val="60"/>
                          <w:marBottom w:val="0"/>
                          <w:divBdr>
                            <w:top w:val="none" w:sz="0" w:space="0" w:color="auto"/>
                            <w:left w:val="none" w:sz="0" w:space="0" w:color="auto"/>
                            <w:bottom w:val="none" w:sz="0" w:space="0" w:color="auto"/>
                            <w:right w:val="none" w:sz="0" w:space="0" w:color="auto"/>
                          </w:divBdr>
                          <w:divsChild>
                            <w:div w:id="269582211">
                              <w:marLeft w:val="0"/>
                              <w:marRight w:val="0"/>
                              <w:marTop w:val="0"/>
                              <w:marBottom w:val="0"/>
                              <w:divBdr>
                                <w:top w:val="none" w:sz="0" w:space="0" w:color="auto"/>
                                <w:left w:val="none" w:sz="0" w:space="0" w:color="auto"/>
                                <w:bottom w:val="none" w:sz="0" w:space="0" w:color="auto"/>
                                <w:right w:val="none" w:sz="0" w:space="0" w:color="auto"/>
                              </w:divBdr>
                              <w:divsChild>
                                <w:div w:id="579173632">
                                  <w:marLeft w:val="0"/>
                                  <w:marRight w:val="0"/>
                                  <w:marTop w:val="0"/>
                                  <w:marBottom w:val="0"/>
                                  <w:divBdr>
                                    <w:top w:val="none" w:sz="0" w:space="0" w:color="auto"/>
                                    <w:left w:val="none" w:sz="0" w:space="0" w:color="auto"/>
                                    <w:bottom w:val="none" w:sz="0" w:space="0" w:color="auto"/>
                                    <w:right w:val="none" w:sz="0" w:space="0" w:color="auto"/>
                                  </w:divBdr>
                                  <w:divsChild>
                                    <w:div w:id="1235437460">
                                      <w:marLeft w:val="0"/>
                                      <w:marRight w:val="0"/>
                                      <w:marTop w:val="0"/>
                                      <w:marBottom w:val="0"/>
                                      <w:divBdr>
                                        <w:top w:val="none" w:sz="0" w:space="0" w:color="auto"/>
                                        <w:left w:val="none" w:sz="0" w:space="0" w:color="auto"/>
                                        <w:bottom w:val="none" w:sz="0" w:space="0" w:color="auto"/>
                                        <w:right w:val="none" w:sz="0" w:space="0" w:color="auto"/>
                                      </w:divBdr>
                                      <w:divsChild>
                                        <w:div w:id="1955862391">
                                          <w:marLeft w:val="0"/>
                                          <w:marRight w:val="0"/>
                                          <w:marTop w:val="0"/>
                                          <w:marBottom w:val="0"/>
                                          <w:divBdr>
                                            <w:top w:val="none" w:sz="0" w:space="0" w:color="auto"/>
                                            <w:left w:val="none" w:sz="0" w:space="0" w:color="auto"/>
                                            <w:bottom w:val="none" w:sz="0" w:space="0" w:color="auto"/>
                                            <w:right w:val="none" w:sz="0" w:space="0" w:color="auto"/>
                                          </w:divBdr>
                                          <w:divsChild>
                                            <w:div w:id="1377853953">
                                              <w:marLeft w:val="0"/>
                                              <w:marRight w:val="0"/>
                                              <w:marTop w:val="0"/>
                                              <w:marBottom w:val="0"/>
                                              <w:divBdr>
                                                <w:top w:val="none" w:sz="0" w:space="0" w:color="auto"/>
                                                <w:left w:val="none" w:sz="0" w:space="0" w:color="auto"/>
                                                <w:bottom w:val="none" w:sz="0" w:space="0" w:color="auto"/>
                                                <w:right w:val="none" w:sz="0" w:space="0" w:color="auto"/>
                                              </w:divBdr>
                                              <w:divsChild>
                                                <w:div w:id="7575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522953">
      <w:bodyDiv w:val="1"/>
      <w:marLeft w:val="0"/>
      <w:marRight w:val="0"/>
      <w:marTop w:val="0"/>
      <w:marBottom w:val="0"/>
      <w:divBdr>
        <w:top w:val="none" w:sz="0" w:space="0" w:color="auto"/>
        <w:left w:val="none" w:sz="0" w:space="0" w:color="auto"/>
        <w:bottom w:val="none" w:sz="0" w:space="0" w:color="auto"/>
        <w:right w:val="none" w:sz="0" w:space="0" w:color="auto"/>
      </w:divBdr>
    </w:div>
    <w:div w:id="1291326072">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612516659">
      <w:bodyDiv w:val="1"/>
      <w:marLeft w:val="0"/>
      <w:marRight w:val="0"/>
      <w:marTop w:val="0"/>
      <w:marBottom w:val="0"/>
      <w:divBdr>
        <w:top w:val="none" w:sz="0" w:space="0" w:color="auto"/>
        <w:left w:val="none" w:sz="0" w:space="0" w:color="auto"/>
        <w:bottom w:val="none" w:sz="0" w:space="0" w:color="auto"/>
        <w:right w:val="none" w:sz="0" w:space="0" w:color="auto"/>
      </w:divBdr>
    </w:div>
    <w:div w:id="1684865356">
      <w:bodyDiv w:val="1"/>
      <w:marLeft w:val="0"/>
      <w:marRight w:val="0"/>
      <w:marTop w:val="0"/>
      <w:marBottom w:val="0"/>
      <w:divBdr>
        <w:top w:val="none" w:sz="0" w:space="0" w:color="auto"/>
        <w:left w:val="none" w:sz="0" w:space="0" w:color="auto"/>
        <w:bottom w:val="none" w:sz="0" w:space="0" w:color="auto"/>
        <w:right w:val="none" w:sz="0" w:space="0" w:color="auto"/>
      </w:divBdr>
    </w:div>
    <w:div w:id="21425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8013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2026-03-28T19:28:00Z</dcterms:created>
  <dcterms:modified xsi:type="dcterms:W3CDTF">2026-03-29T10:51:00Z</dcterms:modified>
</cp:coreProperties>
</file>