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6DC21" w14:textId="5CE0E522" w:rsidR="000D43D9" w:rsidRDefault="000D43D9" w:rsidP="00BE6017">
      <w:pPr>
        <w:rPr>
          <w:b/>
          <w:bCs/>
        </w:rPr>
      </w:pPr>
    </w:p>
    <w:p w14:paraId="7FBF5B41" w14:textId="77777777" w:rsidR="000D43D9" w:rsidRDefault="000D43D9" w:rsidP="00BE6017">
      <w:pPr>
        <w:rPr>
          <w:b/>
          <w:bCs/>
        </w:rPr>
      </w:pPr>
    </w:p>
    <w:p w14:paraId="79A84EED" w14:textId="22301DA1" w:rsidR="000D43D9" w:rsidRDefault="00475C84" w:rsidP="009B4C28">
      <w:pPr>
        <w:rPr>
          <w:rFonts w:ascii="Times New Roman" w:hAnsi="Times New Roman" w:cs="Times New Roman"/>
          <w:b/>
          <w:bCs/>
          <w:sz w:val="36"/>
          <w:szCs w:val="36"/>
        </w:rPr>
      </w:pPr>
      <w:r>
        <w:rPr>
          <w:rFonts w:ascii="Times New Roman" w:hAnsi="Times New Roman" w:cs="Times New Roman"/>
          <w:b/>
          <w:bCs/>
          <w:sz w:val="36"/>
          <w:szCs w:val="36"/>
        </w:rPr>
        <w:t>Technologies de santé numérique</w:t>
      </w:r>
      <w:r w:rsidR="00BE6017" w:rsidRPr="000D43D9">
        <w:rPr>
          <w:rFonts w:ascii="Times New Roman" w:hAnsi="Times New Roman" w:cs="Times New Roman"/>
          <w:b/>
          <w:bCs/>
          <w:sz w:val="36"/>
          <w:szCs w:val="36"/>
        </w:rPr>
        <w:t xml:space="preserve"> pour les adultes atteints de TDAH : revue de </w:t>
      </w:r>
      <w:r>
        <w:rPr>
          <w:rFonts w:ascii="Times New Roman" w:hAnsi="Times New Roman" w:cs="Times New Roman"/>
          <w:b/>
          <w:bCs/>
          <w:sz w:val="36"/>
          <w:szCs w:val="36"/>
        </w:rPr>
        <w:t>littérature</w:t>
      </w:r>
      <w:bookmarkStart w:id="0" w:name="_GoBack"/>
      <w:bookmarkEnd w:id="0"/>
    </w:p>
    <w:p w14:paraId="503716E6" w14:textId="7F5BAC90" w:rsidR="00475C84" w:rsidRPr="000D43D9" w:rsidRDefault="00475C84" w:rsidP="00475C84">
      <w:pPr>
        <w:rPr>
          <w:rFonts w:ascii="Times New Roman" w:hAnsi="Times New Roman" w:cs="Times New Roman"/>
          <w:b/>
          <w:bCs/>
          <w:sz w:val="36"/>
          <w:szCs w:val="36"/>
        </w:rPr>
      </w:pPr>
      <w:r>
        <w:rPr>
          <w:noProof/>
          <w:lang w:val="en-GB" w:eastAsia="en-GB"/>
        </w:rPr>
        <w:drawing>
          <wp:inline distT="0" distB="0" distL="0" distR="0" wp14:anchorId="7643B68B" wp14:editId="4F9CC597">
            <wp:extent cx="5760720" cy="1422400"/>
            <wp:effectExtent l="0" t="0" r="0" b="6350"/>
            <wp:docPr id="8903048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04837" name=""/>
                    <pic:cNvPicPr/>
                  </pic:nvPicPr>
                  <pic:blipFill>
                    <a:blip r:embed="rId5"/>
                    <a:stretch>
                      <a:fillRect/>
                    </a:stretch>
                  </pic:blipFill>
                  <pic:spPr>
                    <a:xfrm>
                      <a:off x="0" y="0"/>
                      <a:ext cx="5760720" cy="1422400"/>
                    </a:xfrm>
                    <a:prstGeom prst="rect">
                      <a:avLst/>
                    </a:prstGeom>
                  </pic:spPr>
                </pic:pic>
              </a:graphicData>
            </a:graphic>
          </wp:inline>
        </w:drawing>
      </w:r>
    </w:p>
    <w:p w14:paraId="0C139FB4" w14:textId="5D6E4BBE" w:rsidR="00BE6017" w:rsidRPr="000D43D9" w:rsidRDefault="00BE6017" w:rsidP="00BE6017">
      <w:pPr>
        <w:rPr>
          <w:rFonts w:ascii="Times New Roman" w:hAnsi="Times New Roman" w:cs="Times New Roman"/>
          <w:b/>
          <w:bCs/>
          <w:color w:val="4472C4" w:themeColor="accent1"/>
          <w:sz w:val="32"/>
          <w:szCs w:val="32"/>
        </w:rPr>
      </w:pPr>
      <w:r w:rsidRPr="000D43D9">
        <w:rPr>
          <w:rFonts w:ascii="Times New Roman" w:hAnsi="Times New Roman" w:cs="Times New Roman"/>
          <w:b/>
          <w:bCs/>
          <w:color w:val="4472C4" w:themeColor="accent1"/>
          <w:sz w:val="32"/>
          <w:szCs w:val="32"/>
        </w:rPr>
        <w:t>Introduction</w:t>
      </w:r>
      <w:r w:rsidR="00B0682A" w:rsidRPr="000D43D9">
        <w:rPr>
          <w:rFonts w:ascii="Times New Roman" w:hAnsi="Times New Roman" w:cs="Times New Roman"/>
          <w:b/>
          <w:bCs/>
          <w:color w:val="4472C4" w:themeColor="accent1"/>
          <w:sz w:val="32"/>
          <w:szCs w:val="32"/>
        </w:rPr>
        <w:t> :</w:t>
      </w:r>
    </w:p>
    <w:p w14:paraId="0202A02A" w14:textId="77777777" w:rsidR="000D43D9" w:rsidRDefault="00BE6017" w:rsidP="00BE6017">
      <w:r w:rsidRPr="00BE6017">
        <w:t>Le trouble du déficit de l’attention avec ou sans hyperactivité (TDAH) est un trouble neurodéveloppemental persistant caractérisé par des symptômes d’inattention, d’hyperactivité et d’impulsivité entraînant un retentissement fonctionnel significatif.</w:t>
      </w:r>
    </w:p>
    <w:p w14:paraId="67E27868" w14:textId="36736C84" w:rsidR="00BE6017" w:rsidRPr="00BE6017" w:rsidRDefault="00BE6017" w:rsidP="00BE6017">
      <w:r w:rsidRPr="00BE6017">
        <w:t>Bien que longtemps considéré comme un trouble de l’enfance, des études longitudinales montrent que les symptômes persistent à l’âge adulte dans environ 65 % des cas</w:t>
      </w:r>
      <w:r w:rsidR="000D43D9">
        <w:t> ; S</w:t>
      </w:r>
      <w:r w:rsidRPr="00BE6017">
        <w:t>a prévalence chez l’adulte est estimée à 2,58 %.</w:t>
      </w:r>
    </w:p>
    <w:p w14:paraId="76321A93" w14:textId="77777777" w:rsidR="00BE6017" w:rsidRPr="00BE6017" w:rsidRDefault="00BE6017" w:rsidP="00BE6017">
      <w:r w:rsidRPr="00BE6017">
        <w:t>Le diagnostic du TDAH chez l’adulte reste complexe. L’absence de biomarqueurs spécifiques implique une évaluation clinique reposant principalement sur l’anamnèse et des informations provenant de plusieurs sources. Dans certains systèmes de santé, les délais d’accès au diagnostic peuvent dépasser deux ans, ce qui contribue à un sous-diagnostic important par rapport à la prévalence attendue. La transition des services pédiatriques vers les services pour adultes constitue également une période critique, de nombreux patients ne parvenant pas à accéder à un suivi spécialisé.</w:t>
      </w:r>
    </w:p>
    <w:p w14:paraId="58F49220" w14:textId="77777777" w:rsidR="00BE6017" w:rsidRPr="00BE6017" w:rsidRDefault="00BE6017" w:rsidP="00BE6017">
      <w:r w:rsidRPr="00BE6017">
        <w:t>La prise en charge repose principalement sur les psychostimulants, recommandés en première intention, associés à des interventions psychothérapeutiques. Toutefois, la réponse thérapeutique est variable et l’accès aux traitements psychologiques reste limité dans de nombreux contextes de soins.</w:t>
      </w:r>
    </w:p>
    <w:p w14:paraId="3996BCF4" w14:textId="77777777" w:rsidR="00BE6017" w:rsidRPr="00BE6017" w:rsidRDefault="00BE6017" w:rsidP="00BE6017">
      <w:r w:rsidRPr="00BE6017">
        <w:t>Dans ce contexte, les technologies de santé numériques (Digital Health Technologies, DHT), incluant les applications mobiles, les dispositifs portables et les plateformes numériques, pourraient améliorer l’accès aux soins, soutenir l’autogestion et optimiser le diagnostic et le suivi clinique.</w:t>
      </w:r>
    </w:p>
    <w:p w14:paraId="66DBA29F" w14:textId="77777777" w:rsidR="00BE6017" w:rsidRPr="00BE6017" w:rsidRDefault="00BE6017" w:rsidP="00BE6017">
      <w:r w:rsidRPr="00BE6017">
        <w:t>Cette revue de portée vise à analyser les technologies numériques développées spécifiquement pour les adultes atteints de TDAH, à les classifier selon leur rôle dans le système de santé, à décrire leurs caractéristiques technologiques, leurs tendances méthodologiques et la qualité des données probantes.</w:t>
      </w:r>
    </w:p>
    <w:p w14:paraId="33F1056C" w14:textId="53E5E315" w:rsidR="00BE6017" w:rsidRPr="000D43D9" w:rsidRDefault="00BE6017" w:rsidP="00BE6017">
      <w:pPr>
        <w:rPr>
          <w:rFonts w:ascii="Times New Roman" w:hAnsi="Times New Roman" w:cs="Times New Roman"/>
          <w:b/>
          <w:bCs/>
          <w:color w:val="4472C4" w:themeColor="accent1"/>
          <w:sz w:val="36"/>
          <w:szCs w:val="36"/>
        </w:rPr>
      </w:pPr>
      <w:r w:rsidRPr="000D43D9">
        <w:rPr>
          <w:rFonts w:ascii="Times New Roman" w:hAnsi="Times New Roman" w:cs="Times New Roman"/>
          <w:b/>
          <w:bCs/>
          <w:color w:val="4472C4" w:themeColor="accent1"/>
          <w:sz w:val="36"/>
          <w:szCs w:val="36"/>
        </w:rPr>
        <w:t xml:space="preserve"> </w:t>
      </w:r>
      <w:r w:rsidR="00475C84">
        <w:rPr>
          <w:rFonts w:ascii="Times New Roman" w:hAnsi="Times New Roman" w:cs="Times New Roman"/>
          <w:b/>
          <w:bCs/>
          <w:color w:val="4472C4" w:themeColor="accent1"/>
          <w:sz w:val="36"/>
          <w:szCs w:val="36"/>
        </w:rPr>
        <w:t>M</w:t>
      </w:r>
      <w:r w:rsidRPr="000D43D9">
        <w:rPr>
          <w:rFonts w:ascii="Times New Roman" w:hAnsi="Times New Roman" w:cs="Times New Roman"/>
          <w:b/>
          <w:bCs/>
          <w:color w:val="4472C4" w:themeColor="accent1"/>
          <w:sz w:val="36"/>
          <w:szCs w:val="36"/>
        </w:rPr>
        <w:t>éthodes</w:t>
      </w:r>
      <w:r w:rsidR="000D43D9" w:rsidRPr="000D43D9">
        <w:rPr>
          <w:rFonts w:ascii="Times New Roman" w:hAnsi="Times New Roman" w:cs="Times New Roman"/>
          <w:b/>
          <w:bCs/>
          <w:color w:val="4472C4" w:themeColor="accent1"/>
          <w:sz w:val="36"/>
          <w:szCs w:val="36"/>
        </w:rPr>
        <w:t> :</w:t>
      </w:r>
    </w:p>
    <w:p w14:paraId="4069DE45" w14:textId="53F6FA2D" w:rsidR="00BE6017" w:rsidRDefault="00BE6017" w:rsidP="00475C84">
      <w:r w:rsidRPr="000D43D9">
        <w:t>Les auteur</w:t>
      </w:r>
      <w:r w:rsidR="00475C84">
        <w:t>s ont réalisé une revue</w:t>
      </w:r>
      <w:r w:rsidRPr="000D43D9">
        <w:t xml:space="preserve"> (</w:t>
      </w:r>
      <w:proofErr w:type="spellStart"/>
      <w:r w:rsidRPr="000D43D9">
        <w:t>scoping</w:t>
      </w:r>
      <w:proofErr w:type="spellEnd"/>
      <w:r w:rsidRPr="000D43D9">
        <w:t xml:space="preserve"> </w:t>
      </w:r>
      <w:proofErr w:type="spellStart"/>
      <w:r w:rsidRPr="000D43D9">
        <w:t>review</w:t>
      </w:r>
      <w:proofErr w:type="spellEnd"/>
      <w:r w:rsidRPr="000D43D9">
        <w:t>) conformément aux recommandations du Joanna Briggs Institute et au guide PRISMA-</w:t>
      </w:r>
      <w:proofErr w:type="spellStart"/>
      <w:r w:rsidRPr="000D43D9">
        <w:t>ScR</w:t>
      </w:r>
      <w:proofErr w:type="spellEnd"/>
      <w:r w:rsidRPr="000D43D9">
        <w:t xml:space="preserve"> (</w:t>
      </w:r>
      <w:proofErr w:type="spellStart"/>
      <w:r w:rsidRPr="000D43D9">
        <w:t>Preferred</w:t>
      </w:r>
      <w:proofErr w:type="spellEnd"/>
      <w:r w:rsidRPr="000D43D9">
        <w:t xml:space="preserve"> </w:t>
      </w:r>
      <w:proofErr w:type="spellStart"/>
      <w:r w:rsidRPr="000D43D9">
        <w:t>Reporting</w:t>
      </w:r>
      <w:proofErr w:type="spellEnd"/>
      <w:r w:rsidRPr="000D43D9">
        <w:t xml:space="preserve"> Items for </w:t>
      </w:r>
      <w:proofErr w:type="spellStart"/>
      <w:r w:rsidRPr="000D43D9">
        <w:t>Systematic</w:t>
      </w:r>
      <w:proofErr w:type="spellEnd"/>
      <w:r w:rsidRPr="000D43D9">
        <w:t xml:space="preserve"> </w:t>
      </w:r>
      <w:proofErr w:type="spellStart"/>
      <w:r w:rsidRPr="000D43D9">
        <w:t>Reviews</w:t>
      </w:r>
      <w:proofErr w:type="spellEnd"/>
      <w:r w:rsidRPr="000D43D9">
        <w:t xml:space="preserve"> and Meta-Analyses extension for </w:t>
      </w:r>
      <w:proofErr w:type="spellStart"/>
      <w:r w:rsidRPr="000D43D9">
        <w:t>Scoping</w:t>
      </w:r>
      <w:proofErr w:type="spellEnd"/>
      <w:r w:rsidRPr="000D43D9">
        <w:t xml:space="preserve"> </w:t>
      </w:r>
      <w:proofErr w:type="spellStart"/>
      <w:r w:rsidRPr="000D43D9">
        <w:t>Reviews</w:t>
      </w:r>
      <w:proofErr w:type="spellEnd"/>
      <w:r w:rsidRPr="000D43D9">
        <w:t>).</w:t>
      </w:r>
    </w:p>
    <w:p w14:paraId="2C066760" w14:textId="345CDD86" w:rsidR="00B07312" w:rsidRPr="000D43D9" w:rsidRDefault="00BE6017" w:rsidP="00475C84">
      <w:pPr>
        <w:rPr>
          <w:rFonts w:asciiTheme="majorHAnsi" w:hAnsiTheme="majorHAnsi" w:cstheme="majorHAnsi"/>
          <w:b/>
          <w:bCs/>
          <w:sz w:val="28"/>
          <w:szCs w:val="28"/>
          <w:u w:val="single"/>
        </w:rPr>
      </w:pPr>
      <w:r w:rsidRPr="000D43D9">
        <w:rPr>
          <w:rFonts w:asciiTheme="majorHAnsi" w:hAnsiTheme="majorHAnsi" w:cstheme="majorHAnsi"/>
          <w:b/>
          <w:bCs/>
          <w:sz w:val="28"/>
          <w:szCs w:val="28"/>
          <w:u w:val="single"/>
        </w:rPr>
        <w:lastRenderedPageBreak/>
        <w:t>Question de recherche</w:t>
      </w:r>
      <w:r w:rsidR="00B0682A" w:rsidRPr="000D43D9">
        <w:rPr>
          <w:rFonts w:asciiTheme="majorHAnsi" w:hAnsiTheme="majorHAnsi" w:cstheme="majorHAnsi"/>
          <w:b/>
          <w:bCs/>
          <w:sz w:val="28"/>
          <w:szCs w:val="28"/>
          <w:u w:val="single"/>
        </w:rPr>
        <w:t> :</w:t>
      </w:r>
    </w:p>
    <w:p w14:paraId="4184F6AB" w14:textId="77777777" w:rsidR="00BE6017" w:rsidRPr="00BE6017" w:rsidRDefault="00BE6017" w:rsidP="00BE6017">
      <w:r w:rsidRPr="00BE6017">
        <w:t>La revue avait pour objectifs principaux :</w:t>
      </w:r>
    </w:p>
    <w:p w14:paraId="24F7E154" w14:textId="77777777" w:rsidR="00BE6017" w:rsidRPr="00BE6017" w:rsidRDefault="00BE6017" w:rsidP="00BE6017">
      <w:pPr>
        <w:numPr>
          <w:ilvl w:val="0"/>
          <w:numId w:val="1"/>
        </w:numPr>
      </w:pPr>
      <w:r w:rsidRPr="00BE6017">
        <w:t>Identifier les technologies numériques développées pour les adultes atteints de TDAH.</w:t>
      </w:r>
    </w:p>
    <w:p w14:paraId="548C19DF" w14:textId="77777777" w:rsidR="00BE6017" w:rsidRPr="00BE6017" w:rsidRDefault="00BE6017" w:rsidP="00BE6017">
      <w:pPr>
        <w:numPr>
          <w:ilvl w:val="0"/>
          <w:numId w:val="1"/>
        </w:numPr>
      </w:pPr>
      <w:r w:rsidRPr="00BE6017">
        <w:t>Classifier ces technologies selon leur objectif clinique et leurs caractéristiques technologiques.</w:t>
      </w:r>
    </w:p>
    <w:p w14:paraId="1DC96F5C" w14:textId="77777777" w:rsidR="00BE6017" w:rsidRPr="00BE6017" w:rsidRDefault="00BE6017" w:rsidP="00BE6017">
      <w:pPr>
        <w:numPr>
          <w:ilvl w:val="0"/>
          <w:numId w:val="1"/>
        </w:numPr>
      </w:pPr>
      <w:r w:rsidRPr="00BE6017">
        <w:t>Examiner les tendances méthodologiques dans leur développement et leur évaluation.</w:t>
      </w:r>
    </w:p>
    <w:p w14:paraId="53C1CCC0" w14:textId="77777777" w:rsidR="00BE6017" w:rsidRDefault="00BE6017" w:rsidP="00BE6017">
      <w:pPr>
        <w:numPr>
          <w:ilvl w:val="0"/>
          <w:numId w:val="1"/>
        </w:numPr>
      </w:pPr>
      <w:r w:rsidRPr="00BE6017">
        <w:t>Évaluer la qualité des données probantes par une analyse du risque de biais.</w:t>
      </w:r>
    </w:p>
    <w:p w14:paraId="467E84AA" w14:textId="39BA784A" w:rsidR="00B07312" w:rsidRPr="00B07312" w:rsidRDefault="00BE6017" w:rsidP="00475C84">
      <w:pPr>
        <w:rPr>
          <w:rFonts w:asciiTheme="majorHAnsi" w:hAnsiTheme="majorHAnsi" w:cstheme="majorHAnsi"/>
          <w:b/>
          <w:bCs/>
          <w:sz w:val="28"/>
          <w:szCs w:val="28"/>
          <w:u w:val="single"/>
        </w:rPr>
      </w:pPr>
      <w:r w:rsidRPr="00B07312">
        <w:rPr>
          <w:rFonts w:asciiTheme="majorHAnsi" w:hAnsiTheme="majorHAnsi" w:cstheme="majorHAnsi"/>
          <w:b/>
          <w:bCs/>
          <w:sz w:val="28"/>
          <w:szCs w:val="28"/>
          <w:u w:val="single"/>
        </w:rPr>
        <w:t xml:space="preserve"> Sources de données et stratégie de recherche</w:t>
      </w:r>
      <w:r w:rsidR="00B07312">
        <w:rPr>
          <w:rFonts w:asciiTheme="majorHAnsi" w:hAnsiTheme="majorHAnsi" w:cstheme="majorHAnsi"/>
          <w:b/>
          <w:bCs/>
          <w:sz w:val="28"/>
          <w:szCs w:val="28"/>
          <w:u w:val="single"/>
        </w:rPr>
        <w:t> :</w:t>
      </w:r>
    </w:p>
    <w:p w14:paraId="7516845E" w14:textId="7F9C3B80" w:rsidR="00BE6017" w:rsidRDefault="00BE6017" w:rsidP="00475C84">
      <w:r w:rsidRPr="00BE6017">
        <w:t>Une recherche systématique a été réalisée dans plusieurs bases de données médicale</w:t>
      </w:r>
      <w:r w:rsidR="00475C84">
        <w:t xml:space="preserve">s et technologiques. </w:t>
      </w:r>
      <w:r w:rsidRPr="00BE6017">
        <w:t xml:space="preserve">Les recherches ont inclus les publications disponibles jusqu’en </w:t>
      </w:r>
      <w:r w:rsidRPr="00B07312">
        <w:t>décembre 2025.</w:t>
      </w:r>
    </w:p>
    <w:p w14:paraId="5E6F6D48" w14:textId="4350AEBB" w:rsidR="00B07312" w:rsidRPr="00B07312" w:rsidRDefault="00BE6017" w:rsidP="00475C84">
      <w:pPr>
        <w:rPr>
          <w:rFonts w:asciiTheme="majorHAnsi" w:hAnsiTheme="majorHAnsi" w:cstheme="majorHAnsi"/>
          <w:b/>
          <w:bCs/>
          <w:sz w:val="28"/>
          <w:szCs w:val="28"/>
          <w:u w:val="single"/>
        </w:rPr>
      </w:pPr>
      <w:r w:rsidRPr="00B07312">
        <w:rPr>
          <w:rFonts w:asciiTheme="majorHAnsi" w:hAnsiTheme="majorHAnsi" w:cstheme="majorHAnsi"/>
          <w:b/>
          <w:bCs/>
          <w:sz w:val="28"/>
          <w:szCs w:val="28"/>
          <w:u w:val="single"/>
        </w:rPr>
        <w:t>Critères d’inclusion et d’exclusion</w:t>
      </w:r>
      <w:r w:rsidR="00B07312">
        <w:rPr>
          <w:rFonts w:asciiTheme="majorHAnsi" w:hAnsiTheme="majorHAnsi" w:cstheme="majorHAnsi"/>
          <w:b/>
          <w:bCs/>
          <w:sz w:val="28"/>
          <w:szCs w:val="28"/>
          <w:u w:val="single"/>
        </w:rPr>
        <w:t> :</w:t>
      </w:r>
    </w:p>
    <w:p w14:paraId="7F859C69" w14:textId="77777777" w:rsidR="00BE6017" w:rsidRPr="00BE6017" w:rsidRDefault="00BE6017" w:rsidP="00BE6017">
      <w:r w:rsidRPr="00BE6017">
        <w:t>Ont été inclus :</w:t>
      </w:r>
    </w:p>
    <w:p w14:paraId="43CE5CA8" w14:textId="77777777" w:rsidR="00BE6017" w:rsidRPr="00BE6017" w:rsidRDefault="00BE6017" w:rsidP="00BE6017">
      <w:pPr>
        <w:numPr>
          <w:ilvl w:val="0"/>
          <w:numId w:val="3"/>
        </w:numPr>
      </w:pPr>
      <w:proofErr w:type="gramStart"/>
      <w:r w:rsidRPr="00BE6017">
        <w:t>les</w:t>
      </w:r>
      <w:proofErr w:type="gramEnd"/>
      <w:r w:rsidRPr="00BE6017">
        <w:t xml:space="preserve"> articles évaluant une technologie numérique destinée aux adultes atteints de TDAH</w:t>
      </w:r>
    </w:p>
    <w:p w14:paraId="5EC58441" w14:textId="77777777" w:rsidR="00BE6017" w:rsidRPr="00BE6017" w:rsidRDefault="00BE6017" w:rsidP="00BE6017">
      <w:pPr>
        <w:numPr>
          <w:ilvl w:val="0"/>
          <w:numId w:val="3"/>
        </w:numPr>
      </w:pPr>
      <w:proofErr w:type="gramStart"/>
      <w:r w:rsidRPr="00BE6017">
        <w:t>les</w:t>
      </w:r>
      <w:proofErr w:type="gramEnd"/>
      <w:r w:rsidRPr="00BE6017">
        <w:t xml:space="preserve"> études originales évaluant un dispositif ou un prototype</w:t>
      </w:r>
    </w:p>
    <w:p w14:paraId="471993DB" w14:textId="495DBBAD" w:rsidR="00BE6017" w:rsidRDefault="00475C84" w:rsidP="00475C84">
      <w:r>
        <w:t xml:space="preserve">Ont été exclus ; </w:t>
      </w:r>
      <w:r w:rsidR="00BE6017" w:rsidRPr="00BE6017">
        <w:t>les résumés de congrès</w:t>
      </w:r>
      <w:r>
        <w:t xml:space="preserve">, </w:t>
      </w:r>
      <w:r w:rsidR="00BE6017" w:rsidRPr="00BE6017">
        <w:t>les thèses</w:t>
      </w:r>
      <w:r w:rsidR="0027129F">
        <w:t xml:space="preserve"> des étudiant</w:t>
      </w:r>
      <w:r w:rsidR="00BE6017" w:rsidRPr="00BE6017">
        <w:t>s</w:t>
      </w:r>
      <w:r>
        <w:t xml:space="preserve">, </w:t>
      </w:r>
      <w:r w:rsidR="00BE6017" w:rsidRPr="00BE6017">
        <w:t>les travaux théoriques</w:t>
      </w:r>
      <w:r>
        <w:t xml:space="preserve">, </w:t>
      </w:r>
      <w:r w:rsidR="00BE6017" w:rsidRPr="00BE6017">
        <w:t>les technologies utilisées uniquement pour la recherche neurophysiologique sans bénéfice clinique direct</w:t>
      </w:r>
      <w:r>
        <w:t xml:space="preserve"> et </w:t>
      </w:r>
      <w:r w:rsidR="00BE6017" w:rsidRPr="00BE6017">
        <w:t>les études portant exclusivement sur les enfants ou adolescents.</w:t>
      </w:r>
    </w:p>
    <w:p w14:paraId="622FD04F" w14:textId="30E9D799" w:rsidR="00B07312" w:rsidRPr="00B07312" w:rsidRDefault="00BE6017" w:rsidP="0027129F">
      <w:pPr>
        <w:rPr>
          <w:rFonts w:asciiTheme="majorHAnsi" w:hAnsiTheme="majorHAnsi" w:cstheme="majorHAnsi"/>
          <w:b/>
          <w:bCs/>
          <w:sz w:val="28"/>
          <w:szCs w:val="28"/>
          <w:u w:val="single"/>
        </w:rPr>
      </w:pPr>
      <w:r w:rsidRPr="00B07312">
        <w:rPr>
          <w:rFonts w:asciiTheme="majorHAnsi" w:hAnsiTheme="majorHAnsi" w:cstheme="majorHAnsi"/>
          <w:b/>
          <w:bCs/>
          <w:sz w:val="28"/>
          <w:szCs w:val="28"/>
          <w:u w:val="single"/>
        </w:rPr>
        <w:t>Sélection des études</w:t>
      </w:r>
      <w:r w:rsidR="00B07312">
        <w:rPr>
          <w:rFonts w:asciiTheme="majorHAnsi" w:hAnsiTheme="majorHAnsi" w:cstheme="majorHAnsi"/>
          <w:b/>
          <w:bCs/>
          <w:sz w:val="28"/>
          <w:szCs w:val="28"/>
          <w:u w:val="single"/>
        </w:rPr>
        <w:t> :</w:t>
      </w:r>
    </w:p>
    <w:p w14:paraId="25DB6BC5" w14:textId="77777777" w:rsidR="00BE6017" w:rsidRDefault="00BE6017" w:rsidP="00BE6017">
      <w:r w:rsidRPr="00B07312">
        <w:t xml:space="preserve">Les références ont été importées dans </w:t>
      </w:r>
      <w:proofErr w:type="spellStart"/>
      <w:r w:rsidRPr="00B07312">
        <w:t>EndNote</w:t>
      </w:r>
      <w:proofErr w:type="spellEnd"/>
      <w:r w:rsidRPr="00B07312">
        <w:t xml:space="preserve"> puis analysées à l’aide du logiciel Rayyan.</w:t>
      </w:r>
      <w:r w:rsidRPr="00B07312">
        <w:br/>
        <w:t>Deux auteurs ont réalisé indépendamment le dépistage des titres et résumés, avec un taux d’accord inter-évaluateurs de 97,25 %.</w:t>
      </w:r>
    </w:p>
    <w:p w14:paraId="6659F2D9" w14:textId="501AEA1D" w:rsidR="00B07312" w:rsidRPr="00B07312" w:rsidRDefault="00BE6017" w:rsidP="0027129F">
      <w:pPr>
        <w:rPr>
          <w:rFonts w:asciiTheme="majorHAnsi" w:hAnsiTheme="majorHAnsi" w:cstheme="majorHAnsi"/>
          <w:b/>
          <w:bCs/>
          <w:sz w:val="28"/>
          <w:szCs w:val="28"/>
          <w:u w:val="single"/>
        </w:rPr>
      </w:pPr>
      <w:r w:rsidRPr="00B07312">
        <w:rPr>
          <w:rFonts w:asciiTheme="majorHAnsi" w:hAnsiTheme="majorHAnsi" w:cstheme="majorHAnsi"/>
          <w:b/>
          <w:bCs/>
          <w:sz w:val="28"/>
          <w:szCs w:val="28"/>
          <w:u w:val="single"/>
        </w:rPr>
        <w:t>Extraction et classification des données</w:t>
      </w:r>
      <w:r w:rsidR="00B07312">
        <w:rPr>
          <w:rFonts w:asciiTheme="majorHAnsi" w:hAnsiTheme="majorHAnsi" w:cstheme="majorHAnsi"/>
          <w:b/>
          <w:bCs/>
          <w:sz w:val="28"/>
          <w:szCs w:val="28"/>
          <w:u w:val="single"/>
        </w:rPr>
        <w:t> :</w:t>
      </w:r>
    </w:p>
    <w:p w14:paraId="5B467CEC" w14:textId="6EE4777E" w:rsidR="00BE6017" w:rsidRPr="00BE6017" w:rsidRDefault="00BE6017" w:rsidP="0027129F">
      <w:r w:rsidRPr="00BE6017">
        <w:t>Les inf</w:t>
      </w:r>
      <w:r w:rsidR="0027129F">
        <w:t xml:space="preserve">ormations extraites incluaient </w:t>
      </w:r>
      <w:r w:rsidRPr="00BE6017">
        <w:t>l’année de publication</w:t>
      </w:r>
      <w:r w:rsidR="0027129F">
        <w:t xml:space="preserve">, </w:t>
      </w:r>
      <w:r w:rsidRPr="00BE6017">
        <w:t>la taille de l’échantillon</w:t>
      </w:r>
      <w:r w:rsidR="0027129F">
        <w:t xml:space="preserve">, </w:t>
      </w:r>
      <w:r w:rsidRPr="00BE6017">
        <w:t>l’âge des participants</w:t>
      </w:r>
      <w:r w:rsidR="0027129F">
        <w:t xml:space="preserve">, </w:t>
      </w:r>
      <w:r w:rsidRPr="00BE6017">
        <w:t>les résultats principaux</w:t>
      </w:r>
      <w:r w:rsidR="0027129F">
        <w:t xml:space="preserve"> et </w:t>
      </w:r>
      <w:r w:rsidRPr="00BE6017">
        <w:t>la technologie utilisée.</w:t>
      </w:r>
    </w:p>
    <w:p w14:paraId="504AE133" w14:textId="42B3836B" w:rsidR="00BE6017" w:rsidRDefault="00BE6017" w:rsidP="0027129F">
      <w:r w:rsidRPr="00B07312">
        <w:t>Les technologies ont été classées selon le cadre de classification des DHT du NICE (National Institute for Health and Care Excellence), qui distingue plusieurs catégories selon leur finalité clinique :</w:t>
      </w:r>
      <w:r w:rsidR="0027129F">
        <w:t xml:space="preserve"> </w:t>
      </w:r>
      <w:r w:rsidRPr="00BE6017">
        <w:t>traiter une condition spécifique</w:t>
      </w:r>
      <w:r w:rsidR="0027129F">
        <w:t xml:space="preserve">, </w:t>
      </w:r>
      <w:r w:rsidRPr="00BE6017">
        <w:t>soutenir la gestion clinique</w:t>
      </w:r>
      <w:r w:rsidR="0027129F">
        <w:t xml:space="preserve">, </w:t>
      </w:r>
      <w:r w:rsidRPr="00BE6017">
        <w:t>diagnostiquer une condition</w:t>
      </w:r>
      <w:r w:rsidR="0027129F">
        <w:t xml:space="preserve">, </w:t>
      </w:r>
      <w:r w:rsidRPr="00BE6017">
        <w:t>informer la prise en charge clinique</w:t>
      </w:r>
      <w:r w:rsidR="0027129F">
        <w:t xml:space="preserve">, </w:t>
      </w:r>
      <w:r w:rsidRPr="00BE6017">
        <w:t>promouvoir la santé</w:t>
      </w:r>
      <w:r w:rsidR="0027129F">
        <w:t xml:space="preserve"> et </w:t>
      </w:r>
      <w:r w:rsidRPr="00BE6017">
        <w:t>communiquer avec les professionnels de santé.</w:t>
      </w:r>
    </w:p>
    <w:p w14:paraId="6B704E24" w14:textId="3B7FB11E" w:rsidR="00B07312" w:rsidRPr="0027129F" w:rsidRDefault="00BE6017" w:rsidP="0027129F">
      <w:r w:rsidRPr="00B07312">
        <w:rPr>
          <w:rFonts w:asciiTheme="majorHAnsi" w:hAnsiTheme="majorHAnsi" w:cstheme="majorHAnsi"/>
          <w:b/>
          <w:bCs/>
          <w:sz w:val="28"/>
          <w:szCs w:val="28"/>
          <w:u w:val="single"/>
        </w:rPr>
        <w:t xml:space="preserve"> </w:t>
      </w:r>
      <w:r w:rsidRPr="00B07312">
        <w:rPr>
          <w:rFonts w:ascii="Times New Roman" w:hAnsi="Times New Roman" w:cs="Times New Roman"/>
          <w:b/>
          <w:bCs/>
          <w:color w:val="4472C4" w:themeColor="accent1"/>
          <w:sz w:val="36"/>
          <w:szCs w:val="36"/>
        </w:rPr>
        <w:t>Résultats</w:t>
      </w:r>
      <w:r w:rsidR="00B07312" w:rsidRPr="00B07312">
        <w:rPr>
          <w:rFonts w:ascii="Times New Roman" w:hAnsi="Times New Roman" w:cs="Times New Roman"/>
          <w:b/>
          <w:bCs/>
          <w:color w:val="4472C4" w:themeColor="accent1"/>
          <w:sz w:val="36"/>
          <w:szCs w:val="36"/>
        </w:rPr>
        <w:t> :</w:t>
      </w:r>
    </w:p>
    <w:p w14:paraId="1CD1CEE6" w14:textId="77777777" w:rsidR="0027129F" w:rsidRDefault="00BE6017" w:rsidP="0027129F">
      <w:r w:rsidRPr="00B07312">
        <w:t>La stratégie de recherch</w:t>
      </w:r>
      <w:r w:rsidR="0027129F">
        <w:t xml:space="preserve">e a identifié 7 982 références. </w:t>
      </w:r>
      <w:r w:rsidRPr="00B07312">
        <w:t>Après élimination des doublons et sélection des études éligibles, 133 articles ont été inclus dans la revue.</w:t>
      </w:r>
    </w:p>
    <w:p w14:paraId="34F1F4AF" w14:textId="48C731E4" w:rsidR="00BE6017" w:rsidRPr="00BE6017" w:rsidRDefault="00BE6017" w:rsidP="0027129F">
      <w:r w:rsidRPr="00BE6017">
        <w:t>Les technologies ont été réparties selon la classification NICE :</w:t>
      </w:r>
    </w:p>
    <w:p w14:paraId="4144B11F" w14:textId="77777777" w:rsidR="00BE6017" w:rsidRPr="00B07312" w:rsidRDefault="00BE6017" w:rsidP="00BE6017">
      <w:pPr>
        <w:numPr>
          <w:ilvl w:val="0"/>
          <w:numId w:val="7"/>
        </w:numPr>
      </w:pPr>
      <w:r w:rsidRPr="00B07312">
        <w:t>Traitement d’une condition spécifique : 63 études (43,4 %)</w:t>
      </w:r>
    </w:p>
    <w:p w14:paraId="034BBA0C" w14:textId="77777777" w:rsidR="00BE6017" w:rsidRPr="00B07312" w:rsidRDefault="00BE6017" w:rsidP="00BE6017">
      <w:pPr>
        <w:numPr>
          <w:ilvl w:val="0"/>
          <w:numId w:val="7"/>
        </w:numPr>
      </w:pPr>
      <w:r w:rsidRPr="00B07312">
        <w:t>Soutien à la gestion clinique : 36 études (27,1 %)</w:t>
      </w:r>
    </w:p>
    <w:p w14:paraId="0B2D124A" w14:textId="77777777" w:rsidR="00BE6017" w:rsidRPr="00B07312" w:rsidRDefault="00BE6017" w:rsidP="00BE6017">
      <w:pPr>
        <w:numPr>
          <w:ilvl w:val="0"/>
          <w:numId w:val="7"/>
        </w:numPr>
      </w:pPr>
      <w:r w:rsidRPr="00B07312">
        <w:lastRenderedPageBreak/>
        <w:t>Diagnostic d’une condition : 19 études (14,3 %)</w:t>
      </w:r>
    </w:p>
    <w:p w14:paraId="5B234FA4" w14:textId="77777777" w:rsidR="00BE6017" w:rsidRPr="00B07312" w:rsidRDefault="00BE6017" w:rsidP="00BE6017">
      <w:pPr>
        <w:numPr>
          <w:ilvl w:val="0"/>
          <w:numId w:val="7"/>
        </w:numPr>
      </w:pPr>
      <w:r w:rsidRPr="00B07312">
        <w:t>Information pour la gestion clinique : 9 études (6,8 %)</w:t>
      </w:r>
    </w:p>
    <w:p w14:paraId="74B31E3B" w14:textId="77777777" w:rsidR="00BE6017" w:rsidRPr="00B07312" w:rsidRDefault="00BE6017" w:rsidP="00BE6017">
      <w:pPr>
        <w:numPr>
          <w:ilvl w:val="0"/>
          <w:numId w:val="7"/>
        </w:numPr>
      </w:pPr>
      <w:r w:rsidRPr="00B07312">
        <w:t>Promotion de la santé : 5 études (3,8 %)</w:t>
      </w:r>
    </w:p>
    <w:p w14:paraId="169BC249" w14:textId="77777777" w:rsidR="00BE6017" w:rsidRPr="00B07312" w:rsidRDefault="00BE6017" w:rsidP="00BE6017">
      <w:pPr>
        <w:numPr>
          <w:ilvl w:val="0"/>
          <w:numId w:val="7"/>
        </w:numPr>
      </w:pPr>
      <w:r w:rsidRPr="00B07312">
        <w:t>Communication avec les professionnels : 1 étude (0,7 %)</w:t>
      </w:r>
    </w:p>
    <w:p w14:paraId="70791FF1" w14:textId="77777777" w:rsidR="00BE6017" w:rsidRPr="00BE6017" w:rsidRDefault="00BE6017" w:rsidP="00BE6017">
      <w:r w:rsidRPr="00BE6017">
        <w:t>Les technologies les plus fréquemment étudiées étaient :</w:t>
      </w:r>
    </w:p>
    <w:p w14:paraId="71CB4DF2" w14:textId="77777777" w:rsidR="00BE6017" w:rsidRPr="00BE6017" w:rsidRDefault="00BE6017" w:rsidP="00BE6017">
      <w:pPr>
        <w:numPr>
          <w:ilvl w:val="0"/>
          <w:numId w:val="8"/>
        </w:numPr>
      </w:pPr>
      <w:proofErr w:type="gramStart"/>
      <w:r w:rsidRPr="00BE6017">
        <w:t>les</w:t>
      </w:r>
      <w:proofErr w:type="gramEnd"/>
      <w:r w:rsidRPr="00BE6017">
        <w:t xml:space="preserve"> thérapies cognitives numériques via applications ou plateformes web</w:t>
      </w:r>
    </w:p>
    <w:p w14:paraId="1F7A1E40" w14:textId="77777777" w:rsidR="00BE6017" w:rsidRPr="00BE6017" w:rsidRDefault="00BE6017" w:rsidP="00BE6017">
      <w:pPr>
        <w:numPr>
          <w:ilvl w:val="0"/>
          <w:numId w:val="8"/>
        </w:numPr>
      </w:pPr>
      <w:proofErr w:type="gramStart"/>
      <w:r w:rsidRPr="00BE6017">
        <w:t>les</w:t>
      </w:r>
      <w:proofErr w:type="gramEnd"/>
      <w:r w:rsidRPr="00BE6017">
        <w:t xml:space="preserve"> programmes d’entraînement cognitif</w:t>
      </w:r>
    </w:p>
    <w:p w14:paraId="2AE72EEE" w14:textId="77777777" w:rsidR="00BE6017" w:rsidRPr="00BE6017" w:rsidRDefault="00BE6017" w:rsidP="00BE6017">
      <w:pPr>
        <w:numPr>
          <w:ilvl w:val="0"/>
          <w:numId w:val="8"/>
        </w:numPr>
      </w:pPr>
      <w:proofErr w:type="gramStart"/>
      <w:r w:rsidRPr="00BE6017">
        <w:t>les</w:t>
      </w:r>
      <w:proofErr w:type="gramEnd"/>
      <w:r w:rsidRPr="00BE6017">
        <w:t xml:space="preserve"> technologies basées sur l’électroencéphalographie (EEG)</w:t>
      </w:r>
    </w:p>
    <w:p w14:paraId="0200245A" w14:textId="77777777" w:rsidR="00BE6017" w:rsidRPr="00BE6017" w:rsidRDefault="00BE6017" w:rsidP="00BE6017">
      <w:pPr>
        <w:numPr>
          <w:ilvl w:val="0"/>
          <w:numId w:val="8"/>
        </w:numPr>
      </w:pPr>
      <w:proofErr w:type="gramStart"/>
      <w:r w:rsidRPr="00BE6017">
        <w:t>les</w:t>
      </w:r>
      <w:proofErr w:type="gramEnd"/>
      <w:r w:rsidRPr="00BE6017">
        <w:t xml:space="preserve"> outils d’apprentissage automatique appliqués au diagnostic.</w:t>
      </w:r>
    </w:p>
    <w:p w14:paraId="5CE8FA5E" w14:textId="56162747" w:rsidR="00BE6017" w:rsidRPr="0084651D" w:rsidRDefault="00BE6017" w:rsidP="00BE6017">
      <w:pPr>
        <w:rPr>
          <w:rFonts w:asciiTheme="majorHAnsi" w:hAnsiTheme="majorHAnsi" w:cstheme="majorHAnsi"/>
          <w:b/>
          <w:bCs/>
          <w:sz w:val="28"/>
          <w:szCs w:val="28"/>
          <w:u w:val="single"/>
        </w:rPr>
      </w:pPr>
      <w:r w:rsidRPr="0084651D">
        <w:rPr>
          <w:rFonts w:asciiTheme="majorHAnsi" w:hAnsiTheme="majorHAnsi" w:cstheme="majorHAnsi"/>
          <w:b/>
          <w:bCs/>
          <w:sz w:val="28"/>
          <w:szCs w:val="28"/>
          <w:u w:val="single"/>
        </w:rPr>
        <w:t xml:space="preserve"> Technologies visant à traiter une condition spécifique (n = 63)</w:t>
      </w:r>
    </w:p>
    <w:p w14:paraId="70D9D2B2" w14:textId="77777777" w:rsidR="00BE6017" w:rsidRPr="00BE6017" w:rsidRDefault="00BE6017" w:rsidP="00BE6017">
      <w:r w:rsidRPr="00BE6017">
        <w:t>Plusieurs catégories d’interventions numériques ont été identifiées.</w:t>
      </w:r>
    </w:p>
    <w:p w14:paraId="6F74DBBD" w14:textId="68A88EF2" w:rsidR="00BE6017" w:rsidRPr="0084651D" w:rsidRDefault="00BE6017" w:rsidP="0084651D">
      <w:pPr>
        <w:pStyle w:val="Paragraphedeliste"/>
        <w:numPr>
          <w:ilvl w:val="0"/>
          <w:numId w:val="20"/>
        </w:numPr>
        <w:rPr>
          <w:b/>
          <w:bCs/>
          <w:i/>
          <w:iCs/>
        </w:rPr>
      </w:pPr>
      <w:r w:rsidRPr="0084651D">
        <w:rPr>
          <w:b/>
          <w:bCs/>
          <w:i/>
          <w:iCs/>
        </w:rPr>
        <w:t xml:space="preserve">Thérapies </w:t>
      </w:r>
      <w:proofErr w:type="spellStart"/>
      <w:r w:rsidRPr="0084651D">
        <w:rPr>
          <w:b/>
          <w:bCs/>
          <w:i/>
          <w:iCs/>
        </w:rPr>
        <w:t>cognitivo</w:t>
      </w:r>
      <w:proofErr w:type="spellEnd"/>
      <w:r w:rsidRPr="0084651D">
        <w:rPr>
          <w:b/>
          <w:bCs/>
          <w:i/>
          <w:iCs/>
        </w:rPr>
        <w:t>-comportementales numériques</w:t>
      </w:r>
      <w:r w:rsidR="0084651D" w:rsidRPr="0084651D">
        <w:rPr>
          <w:b/>
          <w:bCs/>
          <w:i/>
          <w:iCs/>
        </w:rPr>
        <w:t> :</w:t>
      </w:r>
    </w:p>
    <w:p w14:paraId="711EE335" w14:textId="77777777" w:rsidR="00BE6017" w:rsidRPr="00BE6017" w:rsidRDefault="00BE6017" w:rsidP="00BE6017">
      <w:r w:rsidRPr="00BE6017">
        <w:t xml:space="preserve">Vingt-sept études ont évalué des programmes numériques reposant principalement sur la </w:t>
      </w:r>
      <w:r w:rsidRPr="0084651D">
        <w:t xml:space="preserve">thérapie </w:t>
      </w:r>
      <w:proofErr w:type="spellStart"/>
      <w:r w:rsidRPr="0084651D">
        <w:t>cognitivo</w:t>
      </w:r>
      <w:proofErr w:type="spellEnd"/>
      <w:r w:rsidRPr="0084651D">
        <w:t xml:space="preserve">-comportementale (TCC) </w:t>
      </w:r>
      <w:r w:rsidRPr="00BE6017">
        <w:t>ou la psychoéducation.</w:t>
      </w:r>
    </w:p>
    <w:p w14:paraId="48FF6AB4" w14:textId="77777777" w:rsidR="00BE6017" w:rsidRPr="00BE6017" w:rsidRDefault="00BE6017" w:rsidP="00BE6017">
      <w:r w:rsidRPr="00BE6017">
        <w:t>Ces interventions étaient généralement proposées sous forme de modules structurés accessibles via applications ou plateformes web. Certaines étaient accompagnées par un thérapeute, tandis que d’autres étaient auto-guidées.</w:t>
      </w:r>
    </w:p>
    <w:p w14:paraId="09AD5E60" w14:textId="77777777" w:rsidR="00BE6017" w:rsidRPr="00BE6017" w:rsidRDefault="00BE6017" w:rsidP="00BE6017">
      <w:r w:rsidRPr="00BE6017">
        <w:t xml:space="preserve">La durée moyenne des interventions était d’environ </w:t>
      </w:r>
      <w:r w:rsidRPr="0084651D">
        <w:t>six semaines.</w:t>
      </w:r>
    </w:p>
    <w:p w14:paraId="39A843E2" w14:textId="2148E54B" w:rsidR="00BE6017" w:rsidRPr="00BE6017" w:rsidRDefault="00BE6017" w:rsidP="0027129F">
      <w:r w:rsidRPr="00BE6017">
        <w:t xml:space="preserve">L’efficacité était le plus souvent évaluée par des </w:t>
      </w:r>
      <w:r w:rsidRPr="0084651D">
        <w:t>échelles auto-rapportées de symptômes du TDAH,</w:t>
      </w:r>
      <w:r w:rsidRPr="00BE6017">
        <w:t xml:space="preserve"> notamment :</w:t>
      </w:r>
      <w:r w:rsidR="0027129F">
        <w:t xml:space="preserve"> </w:t>
      </w:r>
      <w:proofErr w:type="spellStart"/>
      <w:r w:rsidRPr="0027129F">
        <w:t>Adult</w:t>
      </w:r>
      <w:proofErr w:type="spellEnd"/>
      <w:r w:rsidRPr="0027129F">
        <w:t xml:space="preserve"> ADHD Self-Report </w:t>
      </w:r>
      <w:proofErr w:type="spellStart"/>
      <w:r w:rsidRPr="0027129F">
        <w:t>Scale</w:t>
      </w:r>
      <w:proofErr w:type="spellEnd"/>
      <w:r w:rsidRPr="0027129F">
        <w:t xml:space="preserve"> (ASRS)</w:t>
      </w:r>
      <w:r w:rsidR="0027129F">
        <w:t xml:space="preserve">, </w:t>
      </w:r>
      <w:r w:rsidRPr="00BE6017">
        <w:t xml:space="preserve">ADHD Rating </w:t>
      </w:r>
      <w:proofErr w:type="spellStart"/>
      <w:r w:rsidRPr="00BE6017">
        <w:t>Scale</w:t>
      </w:r>
      <w:proofErr w:type="spellEnd"/>
      <w:r w:rsidR="0027129F">
        <w:t xml:space="preserve"> et </w:t>
      </w:r>
      <w:r w:rsidRPr="00BE6017">
        <w:t xml:space="preserve">DSM-IV </w:t>
      </w:r>
      <w:proofErr w:type="spellStart"/>
      <w:r w:rsidRPr="00BE6017">
        <w:t>Current</w:t>
      </w:r>
      <w:proofErr w:type="spellEnd"/>
      <w:r w:rsidRPr="00BE6017">
        <w:t xml:space="preserve"> </w:t>
      </w:r>
      <w:proofErr w:type="spellStart"/>
      <w:r w:rsidRPr="00BE6017">
        <w:t>Symptoms</w:t>
      </w:r>
      <w:proofErr w:type="spellEnd"/>
      <w:r w:rsidRPr="00BE6017">
        <w:t xml:space="preserve"> </w:t>
      </w:r>
      <w:proofErr w:type="spellStart"/>
      <w:r w:rsidRPr="00BE6017">
        <w:t>Scale</w:t>
      </w:r>
      <w:proofErr w:type="spellEnd"/>
      <w:r w:rsidRPr="00BE6017">
        <w:t>.</w:t>
      </w:r>
    </w:p>
    <w:p w14:paraId="07411337" w14:textId="6ED69DC4" w:rsidR="00BE6017" w:rsidRPr="0084651D" w:rsidRDefault="00BE6017" w:rsidP="0084651D">
      <w:pPr>
        <w:pStyle w:val="Paragraphedeliste"/>
        <w:numPr>
          <w:ilvl w:val="0"/>
          <w:numId w:val="20"/>
        </w:numPr>
        <w:rPr>
          <w:b/>
          <w:bCs/>
          <w:i/>
          <w:iCs/>
        </w:rPr>
      </w:pPr>
      <w:r w:rsidRPr="0084651D">
        <w:rPr>
          <w:b/>
          <w:bCs/>
          <w:i/>
          <w:iCs/>
        </w:rPr>
        <w:t>Programmes d’entraînement cognitif</w:t>
      </w:r>
      <w:r w:rsidR="0084651D">
        <w:rPr>
          <w:b/>
          <w:bCs/>
          <w:i/>
          <w:iCs/>
        </w:rPr>
        <w:t> :</w:t>
      </w:r>
    </w:p>
    <w:p w14:paraId="21E46C90" w14:textId="703C5189" w:rsidR="00BE6017" w:rsidRPr="00BE6017" w:rsidRDefault="00BE6017" w:rsidP="0027129F">
      <w:r w:rsidRPr="00BE6017">
        <w:t>Treize études ont examiné des programmes visant à améliorer les fonctions cognitives, notamment :</w:t>
      </w:r>
      <w:r w:rsidR="0027129F">
        <w:t xml:space="preserve"> </w:t>
      </w:r>
      <w:r w:rsidRPr="00BE6017">
        <w:t>la mémoire de travail</w:t>
      </w:r>
      <w:r w:rsidR="0027129F">
        <w:t xml:space="preserve">, </w:t>
      </w:r>
      <w:r w:rsidRPr="00BE6017">
        <w:t>l’attention</w:t>
      </w:r>
      <w:r w:rsidR="0027129F">
        <w:t xml:space="preserve"> et </w:t>
      </w:r>
      <w:r w:rsidRPr="00BE6017">
        <w:t>les fonctions exécutives.</w:t>
      </w:r>
    </w:p>
    <w:p w14:paraId="626B8079" w14:textId="7F80ED48" w:rsidR="00BE6017" w:rsidRPr="00BE6017" w:rsidRDefault="00BE6017" w:rsidP="000811B8">
      <w:r w:rsidRPr="00BE6017">
        <w:t>Ces interventions utilisaient généralement des interfaces informatiques ou mobiles, parfois en réalité virtuelle.</w:t>
      </w:r>
      <w:r w:rsidR="000811B8">
        <w:t xml:space="preserve"> </w:t>
      </w:r>
      <w:r w:rsidRPr="00BE6017">
        <w:t>Les résultats étaient mesurés par des tests neuropsychologiques et par des échelles symptomatiques.</w:t>
      </w:r>
    </w:p>
    <w:p w14:paraId="512C96FF" w14:textId="2F08A18E" w:rsidR="00BE6017" w:rsidRPr="0084651D" w:rsidRDefault="00BE6017" w:rsidP="0084651D">
      <w:pPr>
        <w:pStyle w:val="Paragraphedeliste"/>
        <w:numPr>
          <w:ilvl w:val="0"/>
          <w:numId w:val="21"/>
        </w:numPr>
        <w:rPr>
          <w:b/>
          <w:bCs/>
          <w:i/>
          <w:iCs/>
        </w:rPr>
      </w:pPr>
      <w:r w:rsidRPr="0084651D">
        <w:rPr>
          <w:b/>
          <w:bCs/>
          <w:i/>
          <w:iCs/>
        </w:rPr>
        <w:t>Neurofeedback</w:t>
      </w:r>
      <w:r w:rsidR="0084651D">
        <w:rPr>
          <w:b/>
          <w:bCs/>
          <w:i/>
          <w:iCs/>
        </w:rPr>
        <w:t> :</w:t>
      </w:r>
    </w:p>
    <w:p w14:paraId="2033825C" w14:textId="47003770" w:rsidR="00BE6017" w:rsidRPr="00BE6017" w:rsidRDefault="00BE6017" w:rsidP="000811B8">
      <w:r w:rsidRPr="00BE6017">
        <w:t xml:space="preserve">Neuf études ont évalué des protocoles de </w:t>
      </w:r>
      <w:r w:rsidRPr="0084651D">
        <w:t>neurofeedback,</w:t>
      </w:r>
      <w:r w:rsidRPr="00BE6017">
        <w:t xml:space="preserve"> consistant à fournir un retour visuel ou auditif basé sur l’activité cérébrale afin d’entraîner certaines oscillations cérébrales.</w:t>
      </w:r>
      <w:r w:rsidR="000811B8">
        <w:t xml:space="preserve"> </w:t>
      </w:r>
      <w:r w:rsidRPr="00BE6017">
        <w:t xml:space="preserve">La durée moyenne d’entraînement était d’environ </w:t>
      </w:r>
      <w:r w:rsidRPr="0084651D">
        <w:t>18 heures.</w:t>
      </w:r>
    </w:p>
    <w:p w14:paraId="731CC030" w14:textId="11B8021C" w:rsidR="00BE6017" w:rsidRPr="0084651D" w:rsidRDefault="00BE6017" w:rsidP="0084651D">
      <w:pPr>
        <w:pStyle w:val="Paragraphedeliste"/>
        <w:numPr>
          <w:ilvl w:val="0"/>
          <w:numId w:val="21"/>
        </w:numPr>
        <w:rPr>
          <w:b/>
          <w:bCs/>
          <w:i/>
          <w:iCs/>
        </w:rPr>
      </w:pPr>
      <w:r w:rsidRPr="0084651D">
        <w:rPr>
          <w:b/>
          <w:bCs/>
          <w:i/>
          <w:iCs/>
        </w:rPr>
        <w:t>Stimulation cérébrale non invasive</w:t>
      </w:r>
      <w:r w:rsidR="0084651D">
        <w:rPr>
          <w:b/>
          <w:bCs/>
          <w:i/>
          <w:iCs/>
        </w:rPr>
        <w:t> :</w:t>
      </w:r>
    </w:p>
    <w:p w14:paraId="1A915003" w14:textId="03B9F70E" w:rsidR="00BE6017" w:rsidRPr="00BE6017" w:rsidRDefault="00BE6017" w:rsidP="000811B8">
      <w:r w:rsidRPr="00BE6017">
        <w:t>Douze études ont étudié des techniques de stimulation cérébrale telles que :</w:t>
      </w:r>
      <w:r w:rsidR="000811B8">
        <w:t xml:space="preserve"> la </w:t>
      </w:r>
      <w:r w:rsidRPr="00BE6017">
        <w:t xml:space="preserve">stimulation </w:t>
      </w:r>
      <w:proofErr w:type="spellStart"/>
      <w:r w:rsidRPr="00BE6017">
        <w:t>transcrânienne</w:t>
      </w:r>
      <w:proofErr w:type="spellEnd"/>
      <w:r w:rsidRPr="00BE6017">
        <w:t xml:space="preserve"> à courant direct (</w:t>
      </w:r>
      <w:proofErr w:type="spellStart"/>
      <w:r w:rsidRPr="00BE6017">
        <w:t>tDCS</w:t>
      </w:r>
      <w:proofErr w:type="spellEnd"/>
      <w:r w:rsidRPr="00BE6017">
        <w:t>)</w:t>
      </w:r>
      <w:r w:rsidR="000811B8">
        <w:t xml:space="preserve">, la </w:t>
      </w:r>
      <w:r w:rsidRPr="00BE6017">
        <w:t xml:space="preserve">stimulation </w:t>
      </w:r>
      <w:proofErr w:type="spellStart"/>
      <w:r w:rsidRPr="00BE6017">
        <w:t>transcrânienne</w:t>
      </w:r>
      <w:proofErr w:type="spellEnd"/>
      <w:r w:rsidRPr="00BE6017">
        <w:t xml:space="preserve"> à courant alternatif (</w:t>
      </w:r>
      <w:proofErr w:type="spellStart"/>
      <w:r w:rsidRPr="00BE6017">
        <w:t>tACS</w:t>
      </w:r>
      <w:proofErr w:type="spellEnd"/>
      <w:r w:rsidRPr="00BE6017">
        <w:t>)</w:t>
      </w:r>
      <w:r w:rsidR="000811B8">
        <w:t xml:space="preserve"> et </w:t>
      </w:r>
      <w:r w:rsidRPr="00BE6017">
        <w:t xml:space="preserve">stimulation magnétique </w:t>
      </w:r>
      <w:proofErr w:type="spellStart"/>
      <w:r w:rsidRPr="00BE6017">
        <w:t>transcrânienne</w:t>
      </w:r>
      <w:proofErr w:type="spellEnd"/>
      <w:r w:rsidRPr="00BE6017">
        <w:t xml:space="preserve"> répétitive (</w:t>
      </w:r>
      <w:proofErr w:type="spellStart"/>
      <w:r w:rsidRPr="00BE6017">
        <w:t>rTMS</w:t>
      </w:r>
      <w:proofErr w:type="spellEnd"/>
      <w:r w:rsidRPr="00BE6017">
        <w:t>).</w:t>
      </w:r>
    </w:p>
    <w:p w14:paraId="37088699" w14:textId="11EB4F6E" w:rsidR="00BE6017" w:rsidRDefault="00BE6017" w:rsidP="00BE6017">
      <w:r w:rsidRPr="00BE6017">
        <w:lastRenderedPageBreak/>
        <w:t xml:space="preserve">La région la plus fréquemment ciblée était </w:t>
      </w:r>
      <w:r w:rsidRPr="0084651D">
        <w:t>le cortex préfrontal dorsolatéral</w:t>
      </w:r>
      <w:r w:rsidRPr="00BE6017">
        <w:t>, impliqué dans les fonctions exécutives.</w:t>
      </w:r>
    </w:p>
    <w:p w14:paraId="46C8B9EB" w14:textId="5ADABAF6" w:rsidR="0084651D" w:rsidRPr="0084651D" w:rsidRDefault="00BE6017" w:rsidP="000811B8">
      <w:pPr>
        <w:rPr>
          <w:rFonts w:asciiTheme="majorHAnsi" w:hAnsiTheme="majorHAnsi" w:cstheme="majorHAnsi"/>
          <w:b/>
          <w:bCs/>
          <w:sz w:val="28"/>
          <w:szCs w:val="28"/>
          <w:u w:val="single"/>
        </w:rPr>
      </w:pPr>
      <w:r w:rsidRPr="0084651D">
        <w:rPr>
          <w:rFonts w:asciiTheme="majorHAnsi" w:hAnsiTheme="majorHAnsi" w:cstheme="majorHAnsi"/>
          <w:b/>
          <w:bCs/>
          <w:sz w:val="28"/>
          <w:szCs w:val="28"/>
          <w:u w:val="single"/>
        </w:rPr>
        <w:t>Technologies visant à soutenir la gestion clinique (n = 36)</w:t>
      </w:r>
    </w:p>
    <w:p w14:paraId="408AAA50" w14:textId="77777777" w:rsidR="00BE6017" w:rsidRPr="00BE6017" w:rsidRDefault="00BE6017" w:rsidP="00BE6017">
      <w:r w:rsidRPr="00BE6017">
        <w:t xml:space="preserve">La majorité de ces études utilisait des </w:t>
      </w:r>
      <w:r w:rsidRPr="0084651D">
        <w:t>algorithmes d’apprentissage automatique</w:t>
      </w:r>
      <w:r w:rsidRPr="00BE6017">
        <w:t xml:space="preserve"> pour soutenir le diagnostic du TDAH.</w:t>
      </w:r>
    </w:p>
    <w:p w14:paraId="197D6491" w14:textId="541CA375" w:rsidR="00BE6017" w:rsidRPr="00BE6017" w:rsidRDefault="00BE6017" w:rsidP="000811B8">
      <w:r w:rsidRPr="00BE6017">
        <w:t>Les données analysées comprenaient :</w:t>
      </w:r>
      <w:r w:rsidR="000811B8">
        <w:t xml:space="preserve"> </w:t>
      </w:r>
      <w:r w:rsidRPr="00BE6017">
        <w:t>électroencéphalographie (EEG)</w:t>
      </w:r>
      <w:r w:rsidR="000811B8">
        <w:t xml:space="preserve">, </w:t>
      </w:r>
      <w:r w:rsidRPr="00BE6017">
        <w:t>imagerie cérébrale (IRM)</w:t>
      </w:r>
      <w:r w:rsidR="000811B8">
        <w:t xml:space="preserve">, </w:t>
      </w:r>
      <w:r w:rsidRPr="00BE6017">
        <w:t>tests de performance continue (</w:t>
      </w:r>
      <w:proofErr w:type="spellStart"/>
      <w:r w:rsidRPr="00BE6017">
        <w:t>Continuous</w:t>
      </w:r>
      <w:proofErr w:type="spellEnd"/>
      <w:r w:rsidRPr="00BE6017">
        <w:t xml:space="preserve"> Performance Test, CPT)</w:t>
      </w:r>
      <w:r w:rsidR="000811B8">
        <w:t xml:space="preserve">, la </w:t>
      </w:r>
      <w:r w:rsidRPr="00BE6017">
        <w:t>réalité virtuelle</w:t>
      </w:r>
      <w:r w:rsidR="000811B8">
        <w:t xml:space="preserve">, le </w:t>
      </w:r>
      <w:r w:rsidRPr="00BE6017">
        <w:t>suivi des mouvements</w:t>
      </w:r>
      <w:r w:rsidR="000811B8">
        <w:t xml:space="preserve"> et </w:t>
      </w:r>
      <w:proofErr w:type="spellStart"/>
      <w:r w:rsidRPr="00BE6017">
        <w:t>eye-tracking</w:t>
      </w:r>
      <w:proofErr w:type="spellEnd"/>
      <w:r w:rsidRPr="00BE6017">
        <w:t>.</w:t>
      </w:r>
    </w:p>
    <w:p w14:paraId="216E573C" w14:textId="5B2652FE" w:rsidR="00BE6017" w:rsidRDefault="00BE6017" w:rsidP="000811B8">
      <w:r w:rsidRPr="00BE6017">
        <w:t>Certaines études combinaient plusieurs sources de d</w:t>
      </w:r>
      <w:r w:rsidR="000811B8">
        <w:t xml:space="preserve">onnées (approches multimodales). </w:t>
      </w:r>
      <w:r w:rsidRPr="00BE6017">
        <w:t>La performance des algorithmes était généralement évaluée à l’aide de :</w:t>
      </w:r>
      <w:r w:rsidR="000811B8">
        <w:t xml:space="preserve"> </w:t>
      </w:r>
      <w:r w:rsidRPr="00BE6017">
        <w:t>l’exactitude (</w:t>
      </w:r>
      <w:proofErr w:type="spellStart"/>
      <w:r w:rsidRPr="00BE6017">
        <w:t>accuracy</w:t>
      </w:r>
      <w:proofErr w:type="spellEnd"/>
      <w:r w:rsidRPr="00BE6017">
        <w:t>)</w:t>
      </w:r>
      <w:r w:rsidR="000811B8">
        <w:t xml:space="preserve">, </w:t>
      </w:r>
      <w:r w:rsidRPr="00BE6017">
        <w:t>la sensibilité</w:t>
      </w:r>
      <w:r w:rsidR="000811B8">
        <w:t xml:space="preserve">, </w:t>
      </w:r>
      <w:r w:rsidRPr="00BE6017">
        <w:t>la spécificité</w:t>
      </w:r>
      <w:r w:rsidR="000811B8">
        <w:t xml:space="preserve"> et </w:t>
      </w:r>
      <w:r w:rsidRPr="00BE6017">
        <w:t>l’aire sous la courbe ROC.</w:t>
      </w:r>
    </w:p>
    <w:p w14:paraId="21155830" w14:textId="23B5BA64" w:rsidR="00BE6017" w:rsidRPr="0084651D" w:rsidRDefault="00BE6017" w:rsidP="00BE6017">
      <w:pPr>
        <w:rPr>
          <w:rFonts w:asciiTheme="majorHAnsi" w:hAnsiTheme="majorHAnsi" w:cstheme="majorHAnsi"/>
          <w:b/>
          <w:bCs/>
          <w:sz w:val="28"/>
          <w:szCs w:val="28"/>
          <w:u w:val="single"/>
        </w:rPr>
      </w:pPr>
      <w:r w:rsidRPr="0084651D">
        <w:rPr>
          <w:rFonts w:asciiTheme="majorHAnsi" w:hAnsiTheme="majorHAnsi" w:cstheme="majorHAnsi"/>
          <w:b/>
          <w:bCs/>
          <w:sz w:val="28"/>
          <w:szCs w:val="28"/>
          <w:u w:val="single"/>
        </w:rPr>
        <w:t>Technologies visant à diagnostiquer une condition (n = 19)</w:t>
      </w:r>
    </w:p>
    <w:p w14:paraId="1AF56FED" w14:textId="056A8694" w:rsidR="00BE6017" w:rsidRPr="00BE6017" w:rsidRDefault="00BE6017" w:rsidP="000811B8">
      <w:r w:rsidRPr="00BE6017">
        <w:t>Ces études proposaient des systèmes automatisés de diagnostic basés sur des analyses de données physiologiques ou comportementales.</w:t>
      </w:r>
      <w:r w:rsidR="000811B8">
        <w:t xml:space="preserve"> </w:t>
      </w:r>
      <w:r w:rsidRPr="00BE6017">
        <w:t>Les données utilisées incluaient principalement :</w:t>
      </w:r>
      <w:r w:rsidR="000811B8">
        <w:t xml:space="preserve"> </w:t>
      </w:r>
      <w:r w:rsidRPr="00BE6017">
        <w:t>EEG</w:t>
      </w:r>
      <w:r w:rsidR="000811B8">
        <w:t xml:space="preserve">, </w:t>
      </w:r>
      <w:r w:rsidRPr="00BE6017">
        <w:t>IRM</w:t>
      </w:r>
      <w:r w:rsidR="000811B8">
        <w:t xml:space="preserve">, </w:t>
      </w:r>
      <w:r w:rsidRPr="00BE6017">
        <w:t>CPT</w:t>
      </w:r>
      <w:r w:rsidR="000811B8">
        <w:t xml:space="preserve">, </w:t>
      </w:r>
      <w:r w:rsidRPr="00BE6017">
        <w:t>spectroscopie proche infrarouge (</w:t>
      </w:r>
      <w:proofErr w:type="spellStart"/>
      <w:r w:rsidRPr="00BE6017">
        <w:t>fNIRS</w:t>
      </w:r>
      <w:proofErr w:type="spellEnd"/>
      <w:r w:rsidRPr="00BE6017">
        <w:t>)</w:t>
      </w:r>
      <w:r w:rsidR="000811B8">
        <w:t xml:space="preserve">, et </w:t>
      </w:r>
      <w:proofErr w:type="spellStart"/>
      <w:r w:rsidRPr="00BE6017">
        <w:t>eye-tracking</w:t>
      </w:r>
      <w:proofErr w:type="spellEnd"/>
      <w:r w:rsidRPr="00BE6017">
        <w:t>.</w:t>
      </w:r>
    </w:p>
    <w:p w14:paraId="51D42272" w14:textId="3B810EB7" w:rsidR="00BE6017" w:rsidRDefault="00BE6017" w:rsidP="00BE6017">
      <w:r w:rsidRPr="00BE6017">
        <w:t xml:space="preserve">Contrairement à la catégorie précédente, ces technologies étaient conçues pour fournir </w:t>
      </w:r>
      <w:r w:rsidRPr="0084651D">
        <w:t>un diagnostic direct ou un dépistage automatisé</w:t>
      </w:r>
      <w:r w:rsidRPr="00BE6017">
        <w:t>, plutôt que pour assister le clinicien.</w:t>
      </w:r>
    </w:p>
    <w:p w14:paraId="523A4D86" w14:textId="1A5F5AA6" w:rsidR="00BE6017" w:rsidRPr="0084651D" w:rsidRDefault="00BE6017" w:rsidP="00BE6017">
      <w:pPr>
        <w:rPr>
          <w:rFonts w:asciiTheme="majorHAnsi" w:hAnsiTheme="majorHAnsi" w:cstheme="majorHAnsi"/>
          <w:b/>
          <w:bCs/>
          <w:sz w:val="28"/>
          <w:szCs w:val="28"/>
          <w:u w:val="single"/>
        </w:rPr>
      </w:pPr>
      <w:r w:rsidRPr="0084651D">
        <w:rPr>
          <w:rFonts w:asciiTheme="majorHAnsi" w:hAnsiTheme="majorHAnsi" w:cstheme="majorHAnsi"/>
          <w:b/>
          <w:bCs/>
          <w:sz w:val="28"/>
          <w:szCs w:val="28"/>
          <w:u w:val="single"/>
        </w:rPr>
        <w:t>Technologies informant la prise en charge clinique (n = 9)</w:t>
      </w:r>
    </w:p>
    <w:p w14:paraId="351067D9" w14:textId="792B48B1" w:rsidR="00BE6017" w:rsidRPr="00BE6017" w:rsidRDefault="00BE6017" w:rsidP="000811B8">
      <w:r w:rsidRPr="00BE6017">
        <w:t>Ces outils visaient principalement :</w:t>
      </w:r>
      <w:r w:rsidR="000811B8">
        <w:t xml:space="preserve"> </w:t>
      </w:r>
      <w:r w:rsidRPr="00BE6017">
        <w:t>le suivi longitudinal des symptômes</w:t>
      </w:r>
      <w:r w:rsidR="000811B8">
        <w:t xml:space="preserve">, </w:t>
      </w:r>
      <w:r w:rsidRPr="00BE6017">
        <w:t>l’observance médicamenteuse</w:t>
      </w:r>
      <w:r w:rsidR="000811B8">
        <w:t xml:space="preserve">, </w:t>
      </w:r>
      <w:r w:rsidRPr="00BE6017">
        <w:t>l’auto-évaluation</w:t>
      </w:r>
      <w:r w:rsidR="000811B8">
        <w:t xml:space="preserve"> et </w:t>
      </w:r>
      <w:r w:rsidRPr="00BE6017">
        <w:t>le suivi de comportements de santé.</w:t>
      </w:r>
    </w:p>
    <w:p w14:paraId="516CC866" w14:textId="77777777" w:rsidR="00BE6017" w:rsidRPr="00BE6017" w:rsidRDefault="00BE6017" w:rsidP="00BE6017">
      <w:r w:rsidRPr="00BE6017">
        <w:t>Certains dispositifs permettaient la collecte de données en conditions réelles afin d’améliorer la prise de décision clinique.</w:t>
      </w:r>
    </w:p>
    <w:p w14:paraId="15C9D8C8" w14:textId="77F90CDB" w:rsidR="00BE6017" w:rsidRPr="00A5511C" w:rsidRDefault="00BE6017" w:rsidP="00BE6017">
      <w:pPr>
        <w:rPr>
          <w:rFonts w:asciiTheme="majorHAnsi" w:hAnsiTheme="majorHAnsi" w:cstheme="majorHAnsi"/>
          <w:b/>
          <w:bCs/>
          <w:sz w:val="28"/>
          <w:szCs w:val="28"/>
          <w:u w:val="single"/>
        </w:rPr>
      </w:pPr>
      <w:r w:rsidRPr="00A5511C">
        <w:rPr>
          <w:rFonts w:asciiTheme="majorHAnsi" w:hAnsiTheme="majorHAnsi" w:cstheme="majorHAnsi"/>
          <w:b/>
          <w:bCs/>
          <w:sz w:val="28"/>
          <w:szCs w:val="28"/>
          <w:u w:val="single"/>
        </w:rPr>
        <w:t xml:space="preserve"> Technologies de promotion de la santé (n = 5)</w:t>
      </w:r>
    </w:p>
    <w:p w14:paraId="5C9B249A" w14:textId="132AF4F1" w:rsidR="00BE6017" w:rsidRPr="00BE6017" w:rsidRDefault="00BE6017" w:rsidP="000811B8">
      <w:r w:rsidRPr="00BE6017">
        <w:t>Ces technologies visaient essentiellement :</w:t>
      </w:r>
      <w:r w:rsidR="000811B8">
        <w:t xml:space="preserve"> </w:t>
      </w:r>
      <w:r w:rsidRPr="00BE6017">
        <w:t>la psychoéducation</w:t>
      </w:r>
      <w:r w:rsidR="000811B8">
        <w:t xml:space="preserve">, </w:t>
      </w:r>
      <w:r w:rsidRPr="00BE6017">
        <w:t>l’amélioration des connaissances sur le TDAH</w:t>
      </w:r>
      <w:r w:rsidR="000811B8">
        <w:t xml:space="preserve">, </w:t>
      </w:r>
      <w:r w:rsidRPr="00BE6017">
        <w:t>le soutien aux activités quotidiennes</w:t>
      </w:r>
      <w:r w:rsidR="000811B8">
        <w:t xml:space="preserve"> et </w:t>
      </w:r>
      <w:r w:rsidRPr="00BE6017">
        <w:t>l’amélioration du sommeil.</w:t>
      </w:r>
    </w:p>
    <w:p w14:paraId="46D81770" w14:textId="77777777" w:rsidR="00BE6017" w:rsidRPr="00BE6017" w:rsidRDefault="00BE6017" w:rsidP="00BE6017">
      <w:r w:rsidRPr="00BE6017">
        <w:t>Les résultats évalués concernaient principalement la satisfaction des utilisateurs et la qualité de vie.</w:t>
      </w:r>
    </w:p>
    <w:p w14:paraId="2E33E318" w14:textId="01319E6E" w:rsidR="00BE6017" w:rsidRPr="00A5511C" w:rsidRDefault="00BE6017" w:rsidP="00BE6017">
      <w:pPr>
        <w:rPr>
          <w:rFonts w:asciiTheme="majorHAnsi" w:hAnsiTheme="majorHAnsi" w:cstheme="majorHAnsi"/>
          <w:b/>
          <w:bCs/>
          <w:sz w:val="28"/>
          <w:szCs w:val="28"/>
          <w:u w:val="single"/>
        </w:rPr>
      </w:pPr>
      <w:r w:rsidRPr="00A5511C">
        <w:rPr>
          <w:rFonts w:asciiTheme="majorHAnsi" w:hAnsiTheme="majorHAnsi" w:cstheme="majorHAnsi"/>
          <w:b/>
          <w:bCs/>
          <w:sz w:val="28"/>
          <w:szCs w:val="28"/>
          <w:u w:val="single"/>
        </w:rPr>
        <w:t>Technologies de communication avec les professionnels (n = 1)</w:t>
      </w:r>
    </w:p>
    <w:p w14:paraId="509E842D" w14:textId="4FA26A16" w:rsidR="00BE6017" w:rsidRPr="00BE6017" w:rsidRDefault="00BE6017" w:rsidP="000811B8">
      <w:r w:rsidRPr="00BE6017">
        <w:t xml:space="preserve">Une seule étude a évalué l’utilisation de </w:t>
      </w:r>
      <w:r w:rsidRPr="00A5511C">
        <w:t>téléconsultations pour l’évaluation diagnostique du TDAH, introduites pendant la pandémie de COVID-19.</w:t>
      </w:r>
      <w:r w:rsidR="000811B8">
        <w:t xml:space="preserve"> </w:t>
      </w:r>
      <w:r w:rsidRPr="00BE6017">
        <w:t>Les utilisateurs ont rapporté un niveau élevé de satisfaction, suggérant que l’évaluation à distance pourrait constituer une option acceptable.</w:t>
      </w:r>
    </w:p>
    <w:p w14:paraId="2AD111EB" w14:textId="3F4BF751" w:rsidR="00BE6017" w:rsidRDefault="00BE6017" w:rsidP="00BE6017">
      <w:pPr>
        <w:rPr>
          <w:rFonts w:asciiTheme="majorHAnsi" w:hAnsiTheme="majorHAnsi" w:cstheme="majorHAnsi"/>
          <w:b/>
          <w:bCs/>
          <w:u w:val="single"/>
        </w:rPr>
      </w:pPr>
      <w:r w:rsidRPr="00A5511C">
        <w:rPr>
          <w:rFonts w:asciiTheme="majorHAnsi" w:hAnsiTheme="majorHAnsi" w:cstheme="majorHAnsi"/>
          <w:b/>
          <w:bCs/>
          <w:sz w:val="28"/>
          <w:szCs w:val="28"/>
          <w:u w:val="single"/>
        </w:rPr>
        <w:t>Analyse du risque de biais</w:t>
      </w:r>
      <w:r w:rsidR="00A5511C">
        <w:rPr>
          <w:rFonts w:asciiTheme="majorHAnsi" w:hAnsiTheme="majorHAnsi" w:cstheme="majorHAnsi"/>
          <w:b/>
          <w:bCs/>
          <w:sz w:val="28"/>
          <w:szCs w:val="28"/>
          <w:u w:val="single"/>
        </w:rPr>
        <w:t> :</w:t>
      </w:r>
    </w:p>
    <w:p w14:paraId="610249D4" w14:textId="77777777" w:rsidR="00A5511C" w:rsidRPr="00A5511C" w:rsidRDefault="00A5511C" w:rsidP="00BE6017">
      <w:pPr>
        <w:rPr>
          <w:rFonts w:asciiTheme="majorHAnsi" w:hAnsiTheme="majorHAnsi" w:cstheme="majorHAnsi"/>
          <w:b/>
          <w:bCs/>
          <w:u w:val="single"/>
        </w:rPr>
      </w:pPr>
    </w:p>
    <w:p w14:paraId="25D26380" w14:textId="59C03153" w:rsidR="00BE6017" w:rsidRPr="00BE6017" w:rsidRDefault="00BE6017" w:rsidP="000811B8">
      <w:r w:rsidRPr="00BE6017">
        <w:t>Plusieurs sources de biais ont été identifiées :</w:t>
      </w:r>
      <w:r w:rsidR="000811B8">
        <w:t xml:space="preserve"> </w:t>
      </w:r>
      <w:r w:rsidRPr="00BE6017">
        <w:t>absence fréquente d’aveuglement des participants et des évaluateurs</w:t>
      </w:r>
      <w:r w:rsidR="000811B8">
        <w:t xml:space="preserve">, </w:t>
      </w:r>
      <w:r w:rsidRPr="00BE6017">
        <w:t>taille d’échantillon souvent insuffisante</w:t>
      </w:r>
      <w:r w:rsidR="000811B8">
        <w:t xml:space="preserve">, </w:t>
      </w:r>
      <w:r w:rsidRPr="00BE6017">
        <w:t>faible analyse de la puissance statistique</w:t>
      </w:r>
      <w:r w:rsidR="000811B8">
        <w:t xml:space="preserve">, </w:t>
      </w:r>
      <w:r w:rsidRPr="00BE6017">
        <w:t>taux élevés d’abandon dans certaines études</w:t>
      </w:r>
      <w:r w:rsidR="000811B8">
        <w:t xml:space="preserve">, et </w:t>
      </w:r>
      <w:r w:rsidRPr="00BE6017">
        <w:t>absence d’ajustement pour les facteurs de confusion dans les études observationnelles.</w:t>
      </w:r>
    </w:p>
    <w:p w14:paraId="133FFDFE" w14:textId="77777777" w:rsidR="00BE6017" w:rsidRPr="00BE6017" w:rsidRDefault="00BE6017" w:rsidP="00BE6017">
      <w:r w:rsidRPr="00BE6017">
        <w:lastRenderedPageBreak/>
        <w:t>Ces limitations réduisent la robustesse des conclusions concernant l’efficacité clinique de nombreuses technologies.</w:t>
      </w:r>
    </w:p>
    <w:p w14:paraId="225F5A94" w14:textId="004FBA35" w:rsidR="00D20490" w:rsidRPr="00D20490" w:rsidRDefault="00BE6017" w:rsidP="000811B8">
      <w:pPr>
        <w:rPr>
          <w:rFonts w:ascii="Times New Roman" w:hAnsi="Times New Roman" w:cs="Times New Roman"/>
          <w:b/>
          <w:bCs/>
          <w:color w:val="4472C4" w:themeColor="accent1"/>
          <w:sz w:val="36"/>
          <w:szCs w:val="36"/>
        </w:rPr>
      </w:pPr>
      <w:r w:rsidRPr="00A5511C">
        <w:rPr>
          <w:rFonts w:ascii="Times New Roman" w:hAnsi="Times New Roman" w:cs="Times New Roman"/>
          <w:b/>
          <w:bCs/>
          <w:color w:val="4472C4" w:themeColor="accent1"/>
          <w:sz w:val="36"/>
          <w:szCs w:val="36"/>
        </w:rPr>
        <w:t xml:space="preserve"> Discussion</w:t>
      </w:r>
      <w:r w:rsidR="00A5511C">
        <w:rPr>
          <w:rFonts w:ascii="Times New Roman" w:hAnsi="Times New Roman" w:cs="Times New Roman"/>
          <w:b/>
          <w:bCs/>
          <w:color w:val="4472C4" w:themeColor="accent1"/>
          <w:sz w:val="36"/>
          <w:szCs w:val="36"/>
        </w:rPr>
        <w:t> :</w:t>
      </w:r>
    </w:p>
    <w:p w14:paraId="504958A2" w14:textId="77777777" w:rsidR="00D20490" w:rsidRDefault="00D20490" w:rsidP="00D20490">
      <w:r w:rsidRPr="00D20490">
        <w:t xml:space="preserve">Les résultats de cette </w:t>
      </w:r>
      <w:proofErr w:type="spellStart"/>
      <w:r w:rsidRPr="00D20490">
        <w:t>scoping</w:t>
      </w:r>
      <w:proofErr w:type="spellEnd"/>
      <w:r w:rsidRPr="00D20490">
        <w:t xml:space="preserve"> </w:t>
      </w:r>
      <w:proofErr w:type="spellStart"/>
      <w:r w:rsidRPr="00D20490">
        <w:t>review</w:t>
      </w:r>
      <w:proofErr w:type="spellEnd"/>
      <w:r w:rsidRPr="00D20490">
        <w:t xml:space="preserve"> mettent en évidence une expansion rapide de l’utilisation des technologies numériques en santé dans la prise en charge du TDAH chez l’adulte, </w:t>
      </w:r>
      <w:r w:rsidRPr="00A5511C">
        <w:t>avec un total de 133 études identifiées</w:t>
      </w:r>
      <w:r>
        <w:t xml:space="preserve"> avec un focus sur</w:t>
      </w:r>
      <w:r w:rsidRPr="00D20490">
        <w:t xml:space="preserve"> les domaines du traitement et du soutien à la prise en charge clinique. </w:t>
      </w:r>
    </w:p>
    <w:p w14:paraId="7956BADC" w14:textId="1EAC3A68" w:rsidR="00D20490" w:rsidRPr="00D20490" w:rsidRDefault="00D20490" w:rsidP="00D20490">
      <w:r w:rsidRPr="00D20490">
        <w:t>Toutefois, malgré cette diversité d’outils et d’applications, les données disponibles restent majoritairement exploratoires et centrées sur la faisabilité, l’acceptabilité et l’engagement des utilisateurs, plutôt que sur des critères robustes d’efficacité clinique.</w:t>
      </w:r>
    </w:p>
    <w:p w14:paraId="0F4B906C" w14:textId="77777777" w:rsidR="00D20490" w:rsidRPr="00D20490" w:rsidRDefault="00D20490" w:rsidP="00D20490">
      <w:r w:rsidRPr="00D20490">
        <w:t>Les auteurs soulignent une hétérogénéité importante des études incluses, tant sur le plan des populations, des interventions que des outils d’évaluation, ce qui limite la comparabilité des résultats et la possibilité de tirer des conclusions généralisables. Cette variabilité méthodologique est renforcée par une utilisation prédominante de mesures auto-rapportées, exposant à des biais subjectifs et réduisant la validité des résultats.</w:t>
      </w:r>
    </w:p>
    <w:p w14:paraId="60F03482" w14:textId="77777777" w:rsidR="00D20490" w:rsidRPr="00D20490" w:rsidRDefault="00D20490" w:rsidP="00D20490">
      <w:r w:rsidRPr="00D20490">
        <w:t>Par ailleurs, plusieurs limites méthodologiques majeures sont identifiées, notamment l’absence fréquente de groupes contrôles, la faible taille des échantillons, ainsi que le manque de protocoles randomisés rigoureux. Ces éléments compromettent la robustesse des preuves et soulignent la nécessité d’études mieux conçues pour évaluer l’efficacité réelle de ces technologies.</w:t>
      </w:r>
    </w:p>
    <w:p w14:paraId="7A1B3EAF" w14:textId="77777777" w:rsidR="00D20490" w:rsidRDefault="00D20490" w:rsidP="00D20490">
      <w:r w:rsidRPr="00D20490">
        <w:t>Les auteurs insistent également sur le fait que l’efficacité des DHT ne dépend pas uniquement de leurs caractéristiques techniques, mais aussi de facteurs contextuels tels que l’adhésion des patients, leur implication dans le développement des outils, ainsi que l’intégration de ces technologies dans les parcours de soins existants. À ce titre, une approche centrée sur l’utilisateur apparaît essentielle pour optimiser l’impact clinique de ces interventions.</w:t>
      </w:r>
    </w:p>
    <w:p w14:paraId="2DF59215" w14:textId="377D39D5" w:rsidR="00D20490" w:rsidRDefault="00D20490" w:rsidP="000811B8">
      <w:pPr>
        <w:rPr>
          <w:rFonts w:ascii="Times New Roman" w:hAnsi="Times New Roman" w:cs="Times New Roman"/>
          <w:b/>
          <w:bCs/>
          <w:color w:val="4472C4" w:themeColor="accent1"/>
          <w:sz w:val="36"/>
          <w:szCs w:val="36"/>
        </w:rPr>
      </w:pPr>
      <w:r w:rsidRPr="00D20490">
        <w:rPr>
          <w:rFonts w:ascii="Times New Roman" w:hAnsi="Times New Roman" w:cs="Times New Roman"/>
          <w:b/>
          <w:bCs/>
          <w:color w:val="4472C4" w:themeColor="accent1"/>
          <w:sz w:val="36"/>
          <w:szCs w:val="36"/>
        </w:rPr>
        <w:t>Conclusion :</w:t>
      </w:r>
    </w:p>
    <w:p w14:paraId="417B14E0" w14:textId="77777777" w:rsidR="00D20490" w:rsidRDefault="00D20490">
      <w:pPr>
        <w:rPr>
          <w:rFonts w:cstheme="minorHAnsi"/>
        </w:rPr>
      </w:pPr>
      <w:r>
        <w:rPr>
          <w:rFonts w:cstheme="minorHAnsi"/>
        </w:rPr>
        <w:t>C</w:t>
      </w:r>
      <w:r w:rsidRPr="00D20490">
        <w:rPr>
          <w:rFonts w:cstheme="minorHAnsi"/>
        </w:rPr>
        <w:t xml:space="preserve">ette revue met en évidence la nécessité de développer des recherches futures reposant sur des essais contrôlés randomisés de haute qualité, intégrant des mesures objectives et standardisées, et visant à évaluer non seulement l’efficacité, mais également la durabilité des effets et leur applicabilité en conditions réelles. </w:t>
      </w:r>
    </w:p>
    <w:p w14:paraId="7E8626BA" w14:textId="5A207B31" w:rsidR="00D20490" w:rsidRDefault="00D20490">
      <w:pPr>
        <w:rPr>
          <w:rFonts w:cstheme="minorHAnsi"/>
        </w:rPr>
      </w:pPr>
      <w:r w:rsidRPr="00D20490">
        <w:rPr>
          <w:rFonts w:cstheme="minorHAnsi"/>
        </w:rPr>
        <w:t>Une meilleure intégration des technologies numériques dans les systèmes de santé, ainsi qu’une collaboration interdisciplinaire, sont</w:t>
      </w:r>
      <w:r>
        <w:rPr>
          <w:rFonts w:cstheme="minorHAnsi"/>
        </w:rPr>
        <w:t xml:space="preserve"> nécessaires</w:t>
      </w:r>
      <w:r w:rsidRPr="00D20490">
        <w:rPr>
          <w:rFonts w:cstheme="minorHAnsi"/>
        </w:rPr>
        <w:t xml:space="preserve"> afin de maximiser leur potentiel dans la prise en charge du TDAH chez l’adulte.</w:t>
      </w:r>
    </w:p>
    <w:p w14:paraId="2B22E656" w14:textId="7E431418" w:rsidR="000811B8" w:rsidRPr="000811B8" w:rsidRDefault="000811B8">
      <w:pPr>
        <w:rPr>
          <w:rFonts w:cstheme="minorHAnsi"/>
          <w:b/>
          <w:bCs/>
          <w:sz w:val="28"/>
          <w:szCs w:val="28"/>
        </w:rPr>
      </w:pPr>
      <w:r w:rsidRPr="000811B8">
        <w:rPr>
          <w:rFonts w:cstheme="minorHAnsi"/>
          <w:b/>
          <w:bCs/>
          <w:sz w:val="28"/>
          <w:szCs w:val="28"/>
        </w:rPr>
        <w:t xml:space="preserve">Dr Yassine </w:t>
      </w:r>
      <w:proofErr w:type="spellStart"/>
      <w:r w:rsidRPr="000811B8">
        <w:rPr>
          <w:rFonts w:cstheme="minorHAnsi"/>
          <w:b/>
          <w:bCs/>
          <w:sz w:val="28"/>
          <w:szCs w:val="28"/>
        </w:rPr>
        <w:t>Nassiri</w:t>
      </w:r>
      <w:proofErr w:type="spellEnd"/>
      <w:r w:rsidRPr="000811B8">
        <w:rPr>
          <w:rFonts w:cstheme="minorHAnsi"/>
          <w:b/>
          <w:bCs/>
          <w:sz w:val="28"/>
          <w:szCs w:val="28"/>
        </w:rPr>
        <w:t>. CHU Mohamed VI Agadir. Mars 26</w:t>
      </w:r>
    </w:p>
    <w:p w14:paraId="64FF4D1F" w14:textId="77777777" w:rsidR="00D20490" w:rsidRPr="000811B8" w:rsidRDefault="00D20490">
      <w:pPr>
        <w:rPr>
          <w:rFonts w:ascii="Times New Roman" w:hAnsi="Times New Roman" w:cs="Times New Roman"/>
          <w:b/>
          <w:bCs/>
          <w:color w:val="4472C4" w:themeColor="accent1"/>
          <w:sz w:val="28"/>
          <w:szCs w:val="28"/>
        </w:rPr>
      </w:pPr>
    </w:p>
    <w:sectPr w:rsidR="00D20490" w:rsidRPr="00081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5F"/>
    <w:multiLevelType w:val="multilevel"/>
    <w:tmpl w:val="0994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5364"/>
    <w:multiLevelType w:val="multilevel"/>
    <w:tmpl w:val="C598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062BC"/>
    <w:multiLevelType w:val="multilevel"/>
    <w:tmpl w:val="09CC185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3" w15:restartNumberingAfterBreak="0">
    <w:nsid w:val="10570D26"/>
    <w:multiLevelType w:val="multilevel"/>
    <w:tmpl w:val="3AF8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816AC"/>
    <w:multiLevelType w:val="multilevel"/>
    <w:tmpl w:val="F4DC499E"/>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15:restartNumberingAfterBreak="0">
    <w:nsid w:val="225B2F1C"/>
    <w:multiLevelType w:val="multilevel"/>
    <w:tmpl w:val="0E6EF406"/>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6" w15:restartNumberingAfterBreak="0">
    <w:nsid w:val="2812057A"/>
    <w:multiLevelType w:val="multilevel"/>
    <w:tmpl w:val="8B58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45700"/>
    <w:multiLevelType w:val="multilevel"/>
    <w:tmpl w:val="A776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4492A"/>
    <w:multiLevelType w:val="multilevel"/>
    <w:tmpl w:val="3018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92269"/>
    <w:multiLevelType w:val="multilevel"/>
    <w:tmpl w:val="7C74D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7C27E4"/>
    <w:multiLevelType w:val="multilevel"/>
    <w:tmpl w:val="383C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E2438"/>
    <w:multiLevelType w:val="multilevel"/>
    <w:tmpl w:val="796A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F18EB"/>
    <w:multiLevelType w:val="multilevel"/>
    <w:tmpl w:val="3A92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9116B"/>
    <w:multiLevelType w:val="hybridMultilevel"/>
    <w:tmpl w:val="FB0808A8"/>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4" w15:restartNumberingAfterBreak="0">
    <w:nsid w:val="57C57899"/>
    <w:multiLevelType w:val="multilevel"/>
    <w:tmpl w:val="B25E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60717"/>
    <w:multiLevelType w:val="multilevel"/>
    <w:tmpl w:val="511C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468D6"/>
    <w:multiLevelType w:val="multilevel"/>
    <w:tmpl w:val="35F8D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E7E9A"/>
    <w:multiLevelType w:val="multilevel"/>
    <w:tmpl w:val="40DE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80F69"/>
    <w:multiLevelType w:val="multilevel"/>
    <w:tmpl w:val="DCC8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B2C5C"/>
    <w:multiLevelType w:val="multilevel"/>
    <w:tmpl w:val="DE6EC2E2"/>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20" w15:restartNumberingAfterBreak="0">
    <w:nsid w:val="74D73826"/>
    <w:multiLevelType w:val="multilevel"/>
    <w:tmpl w:val="93E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0"/>
  </w:num>
  <w:num w:numId="3">
    <w:abstractNumId w:val="6"/>
  </w:num>
  <w:num w:numId="4">
    <w:abstractNumId w:val="15"/>
  </w:num>
  <w:num w:numId="5">
    <w:abstractNumId w:val="12"/>
  </w:num>
  <w:num w:numId="6">
    <w:abstractNumId w:val="0"/>
  </w:num>
  <w:num w:numId="7">
    <w:abstractNumId w:val="7"/>
  </w:num>
  <w:num w:numId="8">
    <w:abstractNumId w:val="18"/>
  </w:num>
  <w:num w:numId="9">
    <w:abstractNumId w:val="2"/>
  </w:num>
  <w:num w:numId="10">
    <w:abstractNumId w:val="19"/>
  </w:num>
  <w:num w:numId="11">
    <w:abstractNumId w:val="5"/>
  </w:num>
  <w:num w:numId="12">
    <w:abstractNumId w:val="11"/>
  </w:num>
  <w:num w:numId="13">
    <w:abstractNumId w:val="3"/>
  </w:num>
  <w:num w:numId="14">
    <w:abstractNumId w:val="17"/>
  </w:num>
  <w:num w:numId="15">
    <w:abstractNumId w:val="8"/>
  </w:num>
  <w:num w:numId="16">
    <w:abstractNumId w:val="1"/>
  </w:num>
  <w:num w:numId="17">
    <w:abstractNumId w:val="14"/>
  </w:num>
  <w:num w:numId="18">
    <w:abstractNumId w:val="9"/>
  </w:num>
  <w:num w:numId="19">
    <w:abstractNumId w:val="20"/>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17"/>
    <w:rsid w:val="000811B8"/>
    <w:rsid w:val="000D43D9"/>
    <w:rsid w:val="001C7EB9"/>
    <w:rsid w:val="0027129F"/>
    <w:rsid w:val="00475C84"/>
    <w:rsid w:val="004A11AD"/>
    <w:rsid w:val="0054602F"/>
    <w:rsid w:val="00664672"/>
    <w:rsid w:val="0084651D"/>
    <w:rsid w:val="009B4C28"/>
    <w:rsid w:val="00A5511C"/>
    <w:rsid w:val="00AD49B8"/>
    <w:rsid w:val="00B0682A"/>
    <w:rsid w:val="00B07312"/>
    <w:rsid w:val="00BB3F78"/>
    <w:rsid w:val="00BE6017"/>
    <w:rsid w:val="00CB375B"/>
    <w:rsid w:val="00D204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AF58"/>
  <w15:chartTrackingRefBased/>
  <w15:docId w15:val="{E641099A-42BB-4126-871B-500CF16A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E60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E60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E601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E601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E601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E60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60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60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60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601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E601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E601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E601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E601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E60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60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60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6017"/>
    <w:rPr>
      <w:rFonts w:eastAsiaTheme="majorEastAsia" w:cstheme="majorBidi"/>
      <w:color w:val="272727" w:themeColor="text1" w:themeTint="D8"/>
    </w:rPr>
  </w:style>
  <w:style w:type="paragraph" w:styleId="Titre">
    <w:name w:val="Title"/>
    <w:basedOn w:val="Normal"/>
    <w:next w:val="Normal"/>
    <w:link w:val="TitreCar"/>
    <w:uiPriority w:val="10"/>
    <w:qFormat/>
    <w:rsid w:val="00BE6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60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60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60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6017"/>
    <w:pPr>
      <w:spacing w:before="160"/>
      <w:jc w:val="center"/>
    </w:pPr>
    <w:rPr>
      <w:i/>
      <w:iCs/>
      <w:color w:val="404040" w:themeColor="text1" w:themeTint="BF"/>
    </w:rPr>
  </w:style>
  <w:style w:type="character" w:customStyle="1" w:styleId="CitationCar">
    <w:name w:val="Citation Car"/>
    <w:basedOn w:val="Policepardfaut"/>
    <w:link w:val="Citation"/>
    <w:uiPriority w:val="29"/>
    <w:rsid w:val="00BE6017"/>
    <w:rPr>
      <w:i/>
      <w:iCs/>
      <w:color w:val="404040" w:themeColor="text1" w:themeTint="BF"/>
    </w:rPr>
  </w:style>
  <w:style w:type="paragraph" w:styleId="Paragraphedeliste">
    <w:name w:val="List Paragraph"/>
    <w:basedOn w:val="Normal"/>
    <w:uiPriority w:val="34"/>
    <w:qFormat/>
    <w:rsid w:val="00BE6017"/>
    <w:pPr>
      <w:ind w:left="720"/>
      <w:contextualSpacing/>
    </w:pPr>
  </w:style>
  <w:style w:type="character" w:styleId="Emphaseintense">
    <w:name w:val="Intense Emphasis"/>
    <w:basedOn w:val="Policepardfaut"/>
    <w:uiPriority w:val="21"/>
    <w:qFormat/>
    <w:rsid w:val="00BE6017"/>
    <w:rPr>
      <w:i/>
      <w:iCs/>
      <w:color w:val="2F5496" w:themeColor="accent1" w:themeShade="BF"/>
    </w:rPr>
  </w:style>
  <w:style w:type="paragraph" w:styleId="Citationintense">
    <w:name w:val="Intense Quote"/>
    <w:basedOn w:val="Normal"/>
    <w:next w:val="Normal"/>
    <w:link w:val="CitationintenseCar"/>
    <w:uiPriority w:val="30"/>
    <w:qFormat/>
    <w:rsid w:val="00BE6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E6017"/>
    <w:rPr>
      <w:i/>
      <w:iCs/>
      <w:color w:val="2F5496" w:themeColor="accent1" w:themeShade="BF"/>
    </w:rPr>
  </w:style>
  <w:style w:type="character" w:styleId="Rfrenceintense">
    <w:name w:val="Intense Reference"/>
    <w:basedOn w:val="Policepardfaut"/>
    <w:uiPriority w:val="32"/>
    <w:qFormat/>
    <w:rsid w:val="00BE60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1810</Words>
  <Characters>10319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soukayna ns</dc:creator>
  <cp:keywords/>
  <dc:description/>
  <cp:lastModifiedBy>pc</cp:lastModifiedBy>
  <cp:revision>5</cp:revision>
  <dcterms:created xsi:type="dcterms:W3CDTF">2026-03-28T10:03:00Z</dcterms:created>
  <dcterms:modified xsi:type="dcterms:W3CDTF">2026-03-28T20:33:00Z</dcterms:modified>
</cp:coreProperties>
</file>