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5DD5" w14:textId="63FE2831" w:rsidR="009B7EBB" w:rsidRPr="009B7EBB" w:rsidRDefault="009B7EBB" w:rsidP="009B7EBB"/>
    <w:p w14:paraId="7099E5F1" w14:textId="51A798D3" w:rsidR="00AB3B2F" w:rsidRPr="00AB3B2F" w:rsidRDefault="00AB3B2F" w:rsidP="00AB3B2F">
      <w:pPr>
        <w:rPr>
          <w:b/>
          <w:bCs/>
          <w:color w:val="FF0000"/>
          <w:sz w:val="40"/>
          <w:szCs w:val="40"/>
        </w:rPr>
      </w:pPr>
      <w:r w:rsidRPr="00AB3B2F">
        <w:rPr>
          <w:b/>
          <w:bCs/>
          <w:color w:val="FF0000"/>
          <w:sz w:val="40"/>
          <w:szCs w:val="40"/>
        </w:rPr>
        <w:t>Le stress oxydatif dans le traitement de la dépression résistante : Une cible thérapeutique masquée</w:t>
      </w:r>
    </w:p>
    <w:p w14:paraId="373B0AEA" w14:textId="40E4ED65" w:rsidR="00AB3B2F" w:rsidRPr="00AB3B2F" w:rsidRDefault="00AB3B2F" w:rsidP="00AB3B2F">
      <w:pPr>
        <w:rPr>
          <w:b/>
          <w:bCs/>
          <w:color w:val="4472C4" w:themeColor="accent1"/>
          <w:sz w:val="28"/>
          <w:szCs w:val="28"/>
        </w:rPr>
      </w:pPr>
      <w:r w:rsidRPr="009B7EBB">
        <w:rPr>
          <w:b/>
          <w:bCs/>
          <w:noProof/>
          <w:sz w:val="32"/>
          <w:szCs w:val="32"/>
          <w:lang w:val="en-GB" w:eastAsia="en-GB"/>
        </w:rPr>
        <w:drawing>
          <wp:inline distT="0" distB="0" distL="0" distR="0" wp14:anchorId="29741CBA" wp14:editId="5E145E27">
            <wp:extent cx="5760720" cy="1348740"/>
            <wp:effectExtent l="0" t="0" r="0" b="3810"/>
            <wp:docPr id="1831750889" name="Image 1" descr="Une image contenant texte, capture d’écran, Police,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50889" name="Image 1" descr="Une image contenant texte, capture d’écran, Police, algèbre&#10;&#10;Le contenu généré par l’IA peut être incorrect."/>
                    <pic:cNvPicPr/>
                  </pic:nvPicPr>
                  <pic:blipFill>
                    <a:blip r:embed="rId5"/>
                    <a:stretch>
                      <a:fillRect/>
                    </a:stretch>
                  </pic:blipFill>
                  <pic:spPr>
                    <a:xfrm>
                      <a:off x="0" y="0"/>
                      <a:ext cx="5760720" cy="1348740"/>
                    </a:xfrm>
                    <a:prstGeom prst="rect">
                      <a:avLst/>
                    </a:prstGeom>
                  </pic:spPr>
                </pic:pic>
              </a:graphicData>
            </a:graphic>
          </wp:inline>
        </w:drawing>
      </w:r>
    </w:p>
    <w:p w14:paraId="05D8DE10" w14:textId="5B36BD4A" w:rsidR="00AB3B2F" w:rsidRDefault="00AB3B2F" w:rsidP="00AB3B2F">
      <w:pPr>
        <w:rPr>
          <w:sz w:val="28"/>
          <w:szCs w:val="28"/>
        </w:rPr>
      </w:pPr>
      <w:r>
        <w:rPr>
          <w:noProof/>
          <w:lang w:val="en-GB" w:eastAsia="en-GB"/>
        </w:rPr>
        <w:drawing>
          <wp:inline distT="0" distB="0" distL="0" distR="0" wp14:anchorId="32D9D8B6" wp14:editId="6A5B8778">
            <wp:extent cx="2105025" cy="419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05025" cy="419100"/>
                    </a:xfrm>
                    <a:prstGeom prst="rect">
                      <a:avLst/>
                    </a:prstGeom>
                  </pic:spPr>
                </pic:pic>
              </a:graphicData>
            </a:graphic>
          </wp:inline>
        </w:drawing>
      </w:r>
      <w:bookmarkStart w:id="0" w:name="_GoBack"/>
      <w:bookmarkEnd w:id="0"/>
    </w:p>
    <w:p w14:paraId="018A962A" w14:textId="77777777" w:rsidR="00AB3B2F" w:rsidRDefault="00AB3B2F" w:rsidP="009B7EBB">
      <w:pPr>
        <w:rPr>
          <w:sz w:val="28"/>
          <w:szCs w:val="28"/>
        </w:rPr>
      </w:pPr>
    </w:p>
    <w:p w14:paraId="5A83092B" w14:textId="6BCBB924" w:rsidR="009B7EBB" w:rsidRPr="00AB3B2F" w:rsidRDefault="009B7EBB" w:rsidP="009B7EBB">
      <w:pPr>
        <w:rPr>
          <w:sz w:val="28"/>
          <w:szCs w:val="28"/>
        </w:rPr>
      </w:pPr>
      <w:r w:rsidRPr="00AB3B2F">
        <w:rPr>
          <w:sz w:val="28"/>
          <w:szCs w:val="28"/>
        </w:rPr>
        <w:t>Le trouble dépressif majeur (TDM) constitue un problème majeur de santé publique touchant environ 300 millions de personnes dans le monde. Sa nature hétérogène, impliquant des facteurs génétiques, psychologiques, environnementaux et biologiques, rend l’obtention d’une rémission complète difficile. L’étude STAR*D a montré une diminution progressive des taux de rémission avec les étapes thérapeutiques successives, soulignant la complexité du traitement.</w:t>
      </w:r>
    </w:p>
    <w:p w14:paraId="7003A86F" w14:textId="77777777" w:rsidR="009B7EBB" w:rsidRPr="00AB3B2F" w:rsidRDefault="009B7EBB" w:rsidP="009B7EBB">
      <w:pPr>
        <w:rPr>
          <w:sz w:val="28"/>
          <w:szCs w:val="28"/>
        </w:rPr>
      </w:pPr>
      <w:r w:rsidRPr="00AB3B2F">
        <w:rPr>
          <w:sz w:val="28"/>
          <w:szCs w:val="28"/>
        </w:rPr>
        <w:t>La dépression résistante au traitement (DRT) concerne environ 30 % des patients lorsque deux essais antidépresseurs adéquats échouent. Des concepts connexes incluent :</w:t>
      </w:r>
    </w:p>
    <w:p w14:paraId="5761A727" w14:textId="77777777" w:rsidR="009B7EBB" w:rsidRPr="00AB3B2F" w:rsidRDefault="009B7EBB" w:rsidP="009B7EBB">
      <w:pPr>
        <w:numPr>
          <w:ilvl w:val="0"/>
          <w:numId w:val="1"/>
        </w:numPr>
        <w:rPr>
          <w:sz w:val="28"/>
          <w:szCs w:val="28"/>
        </w:rPr>
      </w:pPr>
      <w:r w:rsidRPr="00AB3B2F">
        <w:rPr>
          <w:b/>
          <w:bCs/>
          <w:sz w:val="28"/>
          <w:szCs w:val="28"/>
        </w:rPr>
        <w:t>Dépression réfractaire (DR)</w:t>
      </w:r>
      <w:r w:rsidRPr="00AB3B2F">
        <w:rPr>
          <w:sz w:val="28"/>
          <w:szCs w:val="28"/>
        </w:rPr>
        <w:t xml:space="preserve"> : forme persistante et récurrente avec évolution chronique ≥ 2 ans.</w:t>
      </w:r>
    </w:p>
    <w:p w14:paraId="585674AF" w14:textId="77777777" w:rsidR="009B7EBB" w:rsidRPr="00AB3B2F" w:rsidRDefault="009B7EBB" w:rsidP="009B7EBB">
      <w:pPr>
        <w:numPr>
          <w:ilvl w:val="0"/>
          <w:numId w:val="1"/>
        </w:numPr>
        <w:rPr>
          <w:sz w:val="28"/>
          <w:szCs w:val="28"/>
        </w:rPr>
      </w:pPr>
      <w:r w:rsidRPr="00AB3B2F">
        <w:rPr>
          <w:b/>
          <w:bCs/>
          <w:sz w:val="28"/>
          <w:szCs w:val="28"/>
        </w:rPr>
        <w:t>Dépression difficile à traiter (DDT)</w:t>
      </w:r>
      <w:r w:rsidRPr="00AB3B2F">
        <w:rPr>
          <w:sz w:val="28"/>
          <w:szCs w:val="28"/>
        </w:rPr>
        <w:t xml:space="preserve"> : approche multidimensionnelle intégrant facteurs somatiques, psychosociaux et biologiques.</w:t>
      </w:r>
    </w:p>
    <w:p w14:paraId="07C73E89" w14:textId="77777777" w:rsidR="009B7EBB" w:rsidRPr="00AB3B2F" w:rsidRDefault="009B7EBB" w:rsidP="009B7EBB">
      <w:pPr>
        <w:rPr>
          <w:sz w:val="28"/>
          <w:szCs w:val="28"/>
        </w:rPr>
      </w:pPr>
      <w:r w:rsidRPr="00AB3B2F">
        <w:rPr>
          <w:sz w:val="28"/>
          <w:szCs w:val="28"/>
        </w:rPr>
        <w:t>Les patients répondeurs présentent surtout des symptômes affectifs liés aux dysfonctionnements sérotoninergiques, alors que la DRT est dominée par des symptômes somatiques (anhédonie, fatigue, ralentissement psychomoteur) suggérant une implication dopaminergique et noradrénergique.</w:t>
      </w:r>
    </w:p>
    <w:p w14:paraId="52ED669F" w14:textId="2434E765" w:rsidR="009B7EBB" w:rsidRPr="00AB3B2F" w:rsidRDefault="009B7EBB" w:rsidP="009B7EBB">
      <w:pPr>
        <w:rPr>
          <w:sz w:val="28"/>
          <w:szCs w:val="28"/>
        </w:rPr>
      </w:pPr>
      <w:r w:rsidRPr="00AB3B2F">
        <w:rPr>
          <w:sz w:val="28"/>
          <w:szCs w:val="28"/>
        </w:rPr>
        <w:t>Parmi les mécanismes biologiques impliqués figurent : inflammation, désynchronisation circadienne, diminution du facteur neurotrophique dérivé du cerveau (BDNF) et altérations de la neuroplasticité.</w:t>
      </w:r>
    </w:p>
    <w:p w14:paraId="7886BC92" w14:textId="77777777" w:rsidR="009B7EBB" w:rsidRPr="00AB3B2F" w:rsidRDefault="009B7EBB" w:rsidP="009B7EBB">
      <w:pPr>
        <w:rPr>
          <w:sz w:val="28"/>
          <w:szCs w:val="28"/>
        </w:rPr>
      </w:pPr>
      <w:r w:rsidRPr="00AB3B2F">
        <w:rPr>
          <w:sz w:val="28"/>
          <w:szCs w:val="28"/>
        </w:rPr>
        <w:lastRenderedPageBreak/>
        <w:t>Le stress oxydatif (SO) est bien établi dans la physiopathologie de la dépression et pourrait constituer un biomarqueur de sévérité et de persistance symptomatique dans la DRT. L’excès d’espèces réactives de l’oxygène (ERO) et la faiblesse des défenses antioxydantes favorisent inflammation, dysfonction mitochondriale et altération de la neurogenèse.</w:t>
      </w:r>
    </w:p>
    <w:p w14:paraId="63FD32EF" w14:textId="1C9DC704" w:rsidR="009B7EBB" w:rsidRPr="00AB3B2F" w:rsidRDefault="009B7EBB" w:rsidP="009B7EBB">
      <w:pPr>
        <w:rPr>
          <w:sz w:val="28"/>
          <w:szCs w:val="28"/>
        </w:rPr>
      </w:pPr>
    </w:p>
    <w:p w14:paraId="0397EB72" w14:textId="77777777" w:rsidR="009B7EBB" w:rsidRPr="00AB3B2F" w:rsidRDefault="009B7EBB" w:rsidP="00AB3B2F">
      <w:pPr>
        <w:rPr>
          <w:b/>
          <w:bCs/>
          <w:color w:val="4472C4" w:themeColor="accent1"/>
          <w:sz w:val="28"/>
          <w:szCs w:val="28"/>
        </w:rPr>
      </w:pPr>
      <w:r w:rsidRPr="00AB3B2F">
        <w:rPr>
          <w:b/>
          <w:bCs/>
          <w:color w:val="4472C4" w:themeColor="accent1"/>
          <w:sz w:val="28"/>
          <w:szCs w:val="28"/>
        </w:rPr>
        <w:t>Stratégie de recherche</w:t>
      </w:r>
    </w:p>
    <w:p w14:paraId="7630281D" w14:textId="77777777" w:rsidR="009B7EBB" w:rsidRPr="00AB3B2F" w:rsidRDefault="009B7EBB" w:rsidP="009B7EBB">
      <w:pPr>
        <w:rPr>
          <w:sz w:val="28"/>
          <w:szCs w:val="28"/>
        </w:rPr>
      </w:pPr>
      <w:r w:rsidRPr="00AB3B2F">
        <w:rPr>
          <w:sz w:val="28"/>
          <w:szCs w:val="28"/>
        </w:rPr>
        <w:t xml:space="preserve">Les auteurs ont réalisé une revue narrative basée sur des recherches dans </w:t>
      </w:r>
      <w:proofErr w:type="spellStart"/>
      <w:r w:rsidRPr="00AB3B2F">
        <w:rPr>
          <w:sz w:val="28"/>
          <w:szCs w:val="28"/>
        </w:rPr>
        <w:t>PubMed</w:t>
      </w:r>
      <w:proofErr w:type="spellEnd"/>
      <w:r w:rsidRPr="00AB3B2F">
        <w:rPr>
          <w:sz w:val="28"/>
          <w:szCs w:val="28"/>
        </w:rPr>
        <w:t xml:space="preserve">, </w:t>
      </w:r>
      <w:proofErr w:type="spellStart"/>
      <w:r w:rsidRPr="00AB3B2F">
        <w:rPr>
          <w:sz w:val="28"/>
          <w:szCs w:val="28"/>
        </w:rPr>
        <w:t>ScienceDirect</w:t>
      </w:r>
      <w:proofErr w:type="spellEnd"/>
      <w:r w:rsidRPr="00AB3B2F">
        <w:rPr>
          <w:sz w:val="28"/>
          <w:szCs w:val="28"/>
        </w:rPr>
        <w:t xml:space="preserve"> et Google </w:t>
      </w:r>
      <w:proofErr w:type="spellStart"/>
      <w:r w:rsidRPr="00AB3B2F">
        <w:rPr>
          <w:sz w:val="28"/>
          <w:szCs w:val="28"/>
        </w:rPr>
        <w:t>Scholar</w:t>
      </w:r>
      <w:proofErr w:type="spellEnd"/>
      <w:r w:rsidRPr="00AB3B2F">
        <w:rPr>
          <w:sz w:val="28"/>
          <w:szCs w:val="28"/>
        </w:rPr>
        <w:t xml:space="preserve"> jusqu’au 20 octobre 2025. Les mots-clés incluaient notamment : stress oxydatif, dépression résistante, inflammation, neuroplasticité, kétamine et nutraceutiques.</w:t>
      </w:r>
    </w:p>
    <w:p w14:paraId="307FC71D" w14:textId="77777777" w:rsidR="009B7EBB" w:rsidRPr="00AB3B2F" w:rsidRDefault="009B7EBB" w:rsidP="009B7EBB">
      <w:pPr>
        <w:rPr>
          <w:sz w:val="28"/>
          <w:szCs w:val="28"/>
        </w:rPr>
      </w:pPr>
      <w:r w:rsidRPr="00AB3B2F">
        <w:rPr>
          <w:sz w:val="28"/>
          <w:szCs w:val="28"/>
        </w:rPr>
        <w:t>Le choix d’une revue narrative se justifie par l’hétérogénéité des données disponibles (études mécanistiques, observationnelles et recommandations d’experts).</w:t>
      </w:r>
    </w:p>
    <w:p w14:paraId="310670A3" w14:textId="6BE89634" w:rsidR="009B7EBB" w:rsidRPr="00AB3B2F" w:rsidRDefault="009B7EBB" w:rsidP="009B7EBB">
      <w:pPr>
        <w:rPr>
          <w:sz w:val="28"/>
          <w:szCs w:val="28"/>
        </w:rPr>
      </w:pPr>
    </w:p>
    <w:p w14:paraId="5F1BF388" w14:textId="77777777" w:rsidR="009B7EBB" w:rsidRPr="00AB3B2F" w:rsidRDefault="009B7EBB" w:rsidP="00AB3B2F">
      <w:pPr>
        <w:rPr>
          <w:b/>
          <w:bCs/>
          <w:color w:val="4472C4" w:themeColor="accent1"/>
          <w:sz w:val="28"/>
          <w:szCs w:val="28"/>
        </w:rPr>
      </w:pPr>
      <w:r w:rsidRPr="00AB3B2F">
        <w:rPr>
          <w:b/>
          <w:bCs/>
          <w:color w:val="4472C4" w:themeColor="accent1"/>
          <w:sz w:val="28"/>
          <w:szCs w:val="28"/>
        </w:rPr>
        <w:t>Le stress oxydatif comme indicateur de la persistance de la DRT</w:t>
      </w:r>
    </w:p>
    <w:p w14:paraId="4E5A8BD6" w14:textId="77777777" w:rsidR="009B7EBB" w:rsidRPr="00AB3B2F" w:rsidRDefault="009B7EBB" w:rsidP="009B7EBB">
      <w:pPr>
        <w:rPr>
          <w:sz w:val="28"/>
          <w:szCs w:val="28"/>
        </w:rPr>
      </w:pPr>
      <w:r w:rsidRPr="00AB3B2F">
        <w:rPr>
          <w:sz w:val="28"/>
          <w:szCs w:val="28"/>
        </w:rPr>
        <w:t>Le stress oxydatif correspond à un déséquilibre entre production excessive d’ERO et capacité antioxydante insuffisante.</w:t>
      </w:r>
    </w:p>
    <w:p w14:paraId="02B36C02" w14:textId="61063E28" w:rsidR="009B7EBB" w:rsidRPr="00AB3B2F" w:rsidRDefault="009B7EBB" w:rsidP="009B7EBB">
      <w:pPr>
        <w:rPr>
          <w:b/>
          <w:bCs/>
          <w:sz w:val="28"/>
          <w:szCs w:val="28"/>
        </w:rPr>
      </w:pPr>
      <w:r w:rsidRPr="00AB3B2F">
        <w:rPr>
          <w:b/>
          <w:bCs/>
          <w:sz w:val="28"/>
          <w:szCs w:val="28"/>
        </w:rPr>
        <w:t>Sources principales d’ERO :</w:t>
      </w:r>
    </w:p>
    <w:p w14:paraId="38434558" w14:textId="77777777" w:rsidR="009B7EBB" w:rsidRPr="00AB3B2F" w:rsidRDefault="009B7EBB" w:rsidP="00132E9C">
      <w:pPr>
        <w:numPr>
          <w:ilvl w:val="0"/>
          <w:numId w:val="50"/>
        </w:numPr>
        <w:spacing w:after="0"/>
        <w:rPr>
          <w:sz w:val="28"/>
          <w:szCs w:val="28"/>
        </w:rPr>
      </w:pPr>
      <w:proofErr w:type="gramStart"/>
      <w:r w:rsidRPr="00AB3B2F">
        <w:rPr>
          <w:sz w:val="28"/>
          <w:szCs w:val="28"/>
        </w:rPr>
        <w:t>chaîne</w:t>
      </w:r>
      <w:proofErr w:type="gramEnd"/>
      <w:r w:rsidRPr="00AB3B2F">
        <w:rPr>
          <w:sz w:val="28"/>
          <w:szCs w:val="28"/>
        </w:rPr>
        <w:t xml:space="preserve"> respiratoire mitochondriale</w:t>
      </w:r>
    </w:p>
    <w:p w14:paraId="07C818CA" w14:textId="77777777" w:rsidR="009B7EBB" w:rsidRPr="00AB3B2F" w:rsidRDefault="009B7EBB" w:rsidP="00132E9C">
      <w:pPr>
        <w:numPr>
          <w:ilvl w:val="0"/>
          <w:numId w:val="50"/>
        </w:numPr>
        <w:spacing w:after="0"/>
        <w:rPr>
          <w:sz w:val="28"/>
          <w:szCs w:val="28"/>
        </w:rPr>
      </w:pPr>
      <w:r w:rsidRPr="00AB3B2F">
        <w:rPr>
          <w:sz w:val="28"/>
          <w:szCs w:val="28"/>
        </w:rPr>
        <w:t>NADPH oxydases (NOX)</w:t>
      </w:r>
    </w:p>
    <w:p w14:paraId="226BC35E" w14:textId="77777777" w:rsidR="009B7EBB" w:rsidRPr="00AB3B2F" w:rsidRDefault="009B7EBB" w:rsidP="00132E9C">
      <w:pPr>
        <w:numPr>
          <w:ilvl w:val="0"/>
          <w:numId w:val="50"/>
        </w:numPr>
        <w:rPr>
          <w:sz w:val="28"/>
          <w:szCs w:val="28"/>
        </w:rPr>
      </w:pPr>
      <w:proofErr w:type="gramStart"/>
      <w:r w:rsidRPr="00AB3B2F">
        <w:rPr>
          <w:sz w:val="28"/>
          <w:szCs w:val="28"/>
        </w:rPr>
        <w:t>monoamine</w:t>
      </w:r>
      <w:proofErr w:type="gramEnd"/>
      <w:r w:rsidRPr="00AB3B2F">
        <w:rPr>
          <w:sz w:val="28"/>
          <w:szCs w:val="28"/>
        </w:rPr>
        <w:t xml:space="preserve"> oxydase (MAO)</w:t>
      </w:r>
    </w:p>
    <w:p w14:paraId="1B32B9A7" w14:textId="77777777" w:rsidR="009B7EBB" w:rsidRPr="00AB3B2F" w:rsidRDefault="009B7EBB" w:rsidP="009B7EBB">
      <w:pPr>
        <w:rPr>
          <w:sz w:val="28"/>
          <w:szCs w:val="28"/>
        </w:rPr>
      </w:pPr>
      <w:r w:rsidRPr="00AB3B2F">
        <w:rPr>
          <w:sz w:val="28"/>
          <w:szCs w:val="28"/>
        </w:rPr>
        <w:t>Bien que le SO puisse participer physiologiquement à la neurogenèse, son excès provoque des lésions moléculaires des protéines, lipides et acides nucléiques.</w:t>
      </w:r>
    </w:p>
    <w:p w14:paraId="0409009B" w14:textId="77777777" w:rsidR="009B7EBB" w:rsidRPr="00AB3B2F" w:rsidRDefault="009B7EBB" w:rsidP="009B7EBB">
      <w:pPr>
        <w:rPr>
          <w:b/>
          <w:bCs/>
          <w:sz w:val="28"/>
          <w:szCs w:val="28"/>
        </w:rPr>
      </w:pPr>
      <w:r w:rsidRPr="00AB3B2F">
        <w:rPr>
          <w:b/>
          <w:bCs/>
          <w:sz w:val="28"/>
          <w:szCs w:val="28"/>
        </w:rPr>
        <w:t>Vulnérabilité cérébrale</w:t>
      </w:r>
    </w:p>
    <w:p w14:paraId="6868F1FA" w14:textId="77777777" w:rsidR="009B7EBB" w:rsidRPr="00AB3B2F" w:rsidRDefault="009B7EBB" w:rsidP="009B7EBB">
      <w:pPr>
        <w:rPr>
          <w:sz w:val="28"/>
          <w:szCs w:val="28"/>
        </w:rPr>
      </w:pPr>
      <w:r w:rsidRPr="00AB3B2F">
        <w:rPr>
          <w:sz w:val="28"/>
          <w:szCs w:val="28"/>
        </w:rPr>
        <w:t>Le cerveau est particulièrement sensible en raison :</w:t>
      </w:r>
    </w:p>
    <w:p w14:paraId="1D180274" w14:textId="77777777" w:rsidR="009B7EBB" w:rsidRPr="00AB3B2F" w:rsidRDefault="009B7EBB" w:rsidP="00132E9C">
      <w:pPr>
        <w:numPr>
          <w:ilvl w:val="0"/>
          <w:numId w:val="49"/>
        </w:numPr>
        <w:spacing w:after="0"/>
        <w:rPr>
          <w:sz w:val="28"/>
          <w:szCs w:val="28"/>
        </w:rPr>
      </w:pPr>
      <w:proofErr w:type="gramStart"/>
      <w:r w:rsidRPr="00AB3B2F">
        <w:rPr>
          <w:sz w:val="28"/>
          <w:szCs w:val="28"/>
        </w:rPr>
        <w:t>de</w:t>
      </w:r>
      <w:proofErr w:type="gramEnd"/>
      <w:r w:rsidRPr="00AB3B2F">
        <w:rPr>
          <w:sz w:val="28"/>
          <w:szCs w:val="28"/>
        </w:rPr>
        <w:t xml:space="preserve"> sa richesse en acides gras insaturés,</w:t>
      </w:r>
    </w:p>
    <w:p w14:paraId="3D22CE91" w14:textId="77777777" w:rsidR="009B7EBB" w:rsidRPr="00AB3B2F" w:rsidRDefault="009B7EBB" w:rsidP="00132E9C">
      <w:pPr>
        <w:numPr>
          <w:ilvl w:val="0"/>
          <w:numId w:val="49"/>
        </w:numPr>
        <w:spacing w:after="0"/>
        <w:rPr>
          <w:sz w:val="28"/>
          <w:szCs w:val="28"/>
        </w:rPr>
      </w:pPr>
      <w:proofErr w:type="gramStart"/>
      <w:r w:rsidRPr="00AB3B2F">
        <w:rPr>
          <w:sz w:val="28"/>
          <w:szCs w:val="28"/>
        </w:rPr>
        <w:t>de</w:t>
      </w:r>
      <w:proofErr w:type="gramEnd"/>
      <w:r w:rsidRPr="00AB3B2F">
        <w:rPr>
          <w:sz w:val="28"/>
          <w:szCs w:val="28"/>
        </w:rPr>
        <w:t xml:space="preserve"> sa consommation élevée d’oxygène,</w:t>
      </w:r>
    </w:p>
    <w:p w14:paraId="7B5B73E1" w14:textId="77777777" w:rsidR="009B7EBB" w:rsidRPr="00AB3B2F" w:rsidRDefault="009B7EBB" w:rsidP="00132E9C">
      <w:pPr>
        <w:numPr>
          <w:ilvl w:val="0"/>
          <w:numId w:val="49"/>
        </w:numPr>
        <w:rPr>
          <w:sz w:val="28"/>
          <w:szCs w:val="28"/>
        </w:rPr>
      </w:pPr>
      <w:proofErr w:type="gramStart"/>
      <w:r w:rsidRPr="00AB3B2F">
        <w:rPr>
          <w:sz w:val="28"/>
          <w:szCs w:val="28"/>
        </w:rPr>
        <w:t>de</w:t>
      </w:r>
      <w:proofErr w:type="gramEnd"/>
      <w:r w:rsidRPr="00AB3B2F">
        <w:rPr>
          <w:sz w:val="28"/>
          <w:szCs w:val="28"/>
        </w:rPr>
        <w:t xml:space="preserve"> concentrations antioxydantes relativement faibles.</w:t>
      </w:r>
    </w:p>
    <w:p w14:paraId="7E796B75" w14:textId="77777777" w:rsidR="009B7EBB" w:rsidRPr="00AB3B2F" w:rsidRDefault="009B7EBB" w:rsidP="009B7EBB">
      <w:pPr>
        <w:rPr>
          <w:sz w:val="28"/>
          <w:szCs w:val="28"/>
        </w:rPr>
      </w:pPr>
      <w:r w:rsidRPr="00AB3B2F">
        <w:rPr>
          <w:sz w:val="28"/>
          <w:szCs w:val="28"/>
        </w:rPr>
        <w:t>La peroxydation lipidique altère la fonctionnalité membranaire et l’homéostasie intracellulaire.</w:t>
      </w:r>
    </w:p>
    <w:p w14:paraId="131C56ED" w14:textId="77777777" w:rsidR="009B7EBB" w:rsidRPr="00AB3B2F" w:rsidRDefault="009B7EBB" w:rsidP="009B7EBB">
      <w:pPr>
        <w:rPr>
          <w:b/>
          <w:bCs/>
          <w:sz w:val="28"/>
          <w:szCs w:val="28"/>
        </w:rPr>
      </w:pPr>
      <w:r w:rsidRPr="00AB3B2F">
        <w:rPr>
          <w:b/>
          <w:bCs/>
          <w:sz w:val="28"/>
          <w:szCs w:val="28"/>
        </w:rPr>
        <w:t>Corrélats structurels</w:t>
      </w:r>
    </w:p>
    <w:p w14:paraId="413F7978" w14:textId="77777777" w:rsidR="009B7EBB" w:rsidRPr="00AB3B2F" w:rsidRDefault="009B7EBB" w:rsidP="009B7EBB">
      <w:pPr>
        <w:rPr>
          <w:sz w:val="28"/>
          <w:szCs w:val="28"/>
        </w:rPr>
      </w:pPr>
      <w:r w:rsidRPr="00AB3B2F">
        <w:rPr>
          <w:sz w:val="28"/>
          <w:szCs w:val="28"/>
        </w:rPr>
        <w:t>Des études d’imagerie ont montré dans la DRT :</w:t>
      </w:r>
    </w:p>
    <w:p w14:paraId="3B23D35A" w14:textId="77777777" w:rsidR="009B7EBB" w:rsidRPr="00AB3B2F" w:rsidRDefault="009B7EBB" w:rsidP="00132E9C">
      <w:pPr>
        <w:numPr>
          <w:ilvl w:val="0"/>
          <w:numId w:val="48"/>
        </w:numPr>
        <w:spacing w:after="0"/>
        <w:rPr>
          <w:sz w:val="28"/>
          <w:szCs w:val="28"/>
        </w:rPr>
      </w:pPr>
      <w:proofErr w:type="gramStart"/>
      <w:r w:rsidRPr="00AB3B2F">
        <w:rPr>
          <w:sz w:val="28"/>
          <w:szCs w:val="28"/>
        </w:rPr>
        <w:lastRenderedPageBreak/>
        <w:t>diminution</w:t>
      </w:r>
      <w:proofErr w:type="gramEnd"/>
      <w:r w:rsidRPr="00AB3B2F">
        <w:rPr>
          <w:sz w:val="28"/>
          <w:szCs w:val="28"/>
        </w:rPr>
        <w:t xml:space="preserve"> du volume de substance grise (cortex, gyrus frontal inférieur, gyrus précentral, gyrus angulaire),</w:t>
      </w:r>
    </w:p>
    <w:p w14:paraId="686FE69B" w14:textId="77777777" w:rsidR="009B7EBB" w:rsidRPr="00AB3B2F" w:rsidRDefault="009B7EBB" w:rsidP="00132E9C">
      <w:pPr>
        <w:numPr>
          <w:ilvl w:val="0"/>
          <w:numId w:val="48"/>
        </w:numPr>
        <w:spacing w:after="0"/>
        <w:rPr>
          <w:sz w:val="28"/>
          <w:szCs w:val="28"/>
        </w:rPr>
      </w:pPr>
      <w:proofErr w:type="gramStart"/>
      <w:r w:rsidRPr="00AB3B2F">
        <w:rPr>
          <w:sz w:val="28"/>
          <w:szCs w:val="28"/>
        </w:rPr>
        <w:t>anomalies</w:t>
      </w:r>
      <w:proofErr w:type="gramEnd"/>
      <w:r w:rsidRPr="00AB3B2F">
        <w:rPr>
          <w:sz w:val="28"/>
          <w:szCs w:val="28"/>
        </w:rPr>
        <w:t xml:space="preserve"> de la substance blanche.</w:t>
      </w:r>
    </w:p>
    <w:p w14:paraId="27EEAA04" w14:textId="501E90BA" w:rsidR="009B7EBB" w:rsidRPr="00AB3B2F" w:rsidRDefault="009B7EBB" w:rsidP="009B7EBB">
      <w:pPr>
        <w:rPr>
          <w:sz w:val="28"/>
          <w:szCs w:val="28"/>
        </w:rPr>
      </w:pPr>
    </w:p>
    <w:p w14:paraId="09FD2FE7" w14:textId="77777777" w:rsidR="009B7EBB" w:rsidRPr="00AB3B2F" w:rsidRDefault="009B7EBB" w:rsidP="00AB3B2F">
      <w:pPr>
        <w:rPr>
          <w:b/>
          <w:bCs/>
          <w:color w:val="4472C4" w:themeColor="accent1"/>
          <w:sz w:val="28"/>
          <w:szCs w:val="28"/>
        </w:rPr>
      </w:pPr>
      <w:r w:rsidRPr="00AB3B2F">
        <w:rPr>
          <w:b/>
          <w:bCs/>
          <w:color w:val="4472C4" w:themeColor="accent1"/>
          <w:sz w:val="28"/>
          <w:szCs w:val="28"/>
        </w:rPr>
        <w:t>Inflammation induite par les ERO dans la DRT</w:t>
      </w:r>
    </w:p>
    <w:p w14:paraId="65CA89C6" w14:textId="77777777" w:rsidR="009B7EBB" w:rsidRPr="00AB3B2F" w:rsidRDefault="009B7EBB" w:rsidP="009B7EBB">
      <w:pPr>
        <w:rPr>
          <w:sz w:val="28"/>
          <w:szCs w:val="28"/>
        </w:rPr>
      </w:pPr>
      <w:r w:rsidRPr="00AB3B2F">
        <w:rPr>
          <w:sz w:val="28"/>
          <w:szCs w:val="28"/>
        </w:rPr>
        <w:t xml:space="preserve">Des niveaux élevés d’ERO entretiennent plusieurs mécanismes neurobiologiques clés : </w:t>
      </w:r>
    </w:p>
    <w:p w14:paraId="5422FBA2" w14:textId="29BA292E" w:rsidR="009B7EBB" w:rsidRPr="00AB3B2F" w:rsidRDefault="009B7EBB" w:rsidP="009B7EBB">
      <w:pPr>
        <w:pStyle w:val="Paragraphedeliste"/>
        <w:numPr>
          <w:ilvl w:val="0"/>
          <w:numId w:val="29"/>
        </w:numPr>
        <w:rPr>
          <w:sz w:val="28"/>
          <w:szCs w:val="28"/>
        </w:rPr>
      </w:pPr>
      <w:proofErr w:type="gramStart"/>
      <w:r w:rsidRPr="00AB3B2F">
        <w:rPr>
          <w:sz w:val="28"/>
          <w:szCs w:val="28"/>
        </w:rPr>
        <w:t>neuro</w:t>
      </w:r>
      <w:proofErr w:type="gramEnd"/>
      <w:r w:rsidRPr="00AB3B2F">
        <w:rPr>
          <w:sz w:val="28"/>
          <w:szCs w:val="28"/>
        </w:rPr>
        <w:t>-inflammation,</w:t>
      </w:r>
    </w:p>
    <w:p w14:paraId="3B906268" w14:textId="77777777" w:rsidR="009B7EBB" w:rsidRPr="00AB3B2F" w:rsidRDefault="009B7EBB" w:rsidP="009B7EBB">
      <w:pPr>
        <w:pStyle w:val="Paragraphedeliste"/>
        <w:numPr>
          <w:ilvl w:val="0"/>
          <w:numId w:val="27"/>
        </w:numPr>
        <w:rPr>
          <w:sz w:val="28"/>
          <w:szCs w:val="28"/>
        </w:rPr>
      </w:pPr>
      <w:proofErr w:type="gramStart"/>
      <w:r w:rsidRPr="00AB3B2F">
        <w:rPr>
          <w:sz w:val="28"/>
          <w:szCs w:val="28"/>
        </w:rPr>
        <w:t>hyperactivité</w:t>
      </w:r>
      <w:proofErr w:type="gramEnd"/>
      <w:r w:rsidRPr="00AB3B2F">
        <w:rPr>
          <w:sz w:val="28"/>
          <w:szCs w:val="28"/>
        </w:rPr>
        <w:t xml:space="preserve"> de l’axe </w:t>
      </w:r>
      <w:proofErr w:type="spellStart"/>
      <w:r w:rsidRPr="00AB3B2F">
        <w:rPr>
          <w:sz w:val="28"/>
          <w:szCs w:val="28"/>
        </w:rPr>
        <w:t>hypothalamo</w:t>
      </w:r>
      <w:proofErr w:type="spellEnd"/>
      <w:r w:rsidRPr="00AB3B2F">
        <w:rPr>
          <w:sz w:val="28"/>
          <w:szCs w:val="28"/>
        </w:rPr>
        <w:t>-</w:t>
      </w:r>
      <w:proofErr w:type="spellStart"/>
      <w:r w:rsidRPr="00AB3B2F">
        <w:rPr>
          <w:sz w:val="28"/>
          <w:szCs w:val="28"/>
        </w:rPr>
        <w:t>hypophyso</w:t>
      </w:r>
      <w:proofErr w:type="spellEnd"/>
      <w:r w:rsidRPr="00AB3B2F">
        <w:rPr>
          <w:sz w:val="28"/>
          <w:szCs w:val="28"/>
        </w:rPr>
        <w:t>-surrénalien (HHS),</w:t>
      </w:r>
    </w:p>
    <w:p w14:paraId="66ED50A5" w14:textId="77777777" w:rsidR="009B7EBB" w:rsidRPr="00AB3B2F" w:rsidRDefault="009B7EBB" w:rsidP="009B7EBB">
      <w:pPr>
        <w:pStyle w:val="Paragraphedeliste"/>
        <w:numPr>
          <w:ilvl w:val="0"/>
          <w:numId w:val="27"/>
        </w:numPr>
        <w:rPr>
          <w:sz w:val="28"/>
          <w:szCs w:val="28"/>
        </w:rPr>
      </w:pPr>
      <w:proofErr w:type="gramStart"/>
      <w:r w:rsidRPr="00AB3B2F">
        <w:rPr>
          <w:sz w:val="28"/>
          <w:szCs w:val="28"/>
        </w:rPr>
        <w:t>excitotoxicité</w:t>
      </w:r>
      <w:proofErr w:type="gramEnd"/>
      <w:r w:rsidRPr="00AB3B2F">
        <w:rPr>
          <w:sz w:val="28"/>
          <w:szCs w:val="28"/>
        </w:rPr>
        <w:t xml:space="preserve"> glutamatergique,</w:t>
      </w:r>
    </w:p>
    <w:p w14:paraId="77208E2C" w14:textId="1E7E1B62" w:rsidR="009B7EBB" w:rsidRPr="00AB3B2F" w:rsidRDefault="009B7EBB" w:rsidP="009B7EBB">
      <w:pPr>
        <w:pStyle w:val="Paragraphedeliste"/>
        <w:numPr>
          <w:ilvl w:val="0"/>
          <w:numId w:val="27"/>
        </w:numPr>
        <w:rPr>
          <w:sz w:val="28"/>
          <w:szCs w:val="28"/>
        </w:rPr>
      </w:pPr>
      <w:proofErr w:type="gramStart"/>
      <w:r w:rsidRPr="00AB3B2F">
        <w:rPr>
          <w:sz w:val="28"/>
          <w:szCs w:val="28"/>
        </w:rPr>
        <w:t>altération</w:t>
      </w:r>
      <w:proofErr w:type="gramEnd"/>
      <w:r w:rsidRPr="00AB3B2F">
        <w:rPr>
          <w:sz w:val="28"/>
          <w:szCs w:val="28"/>
        </w:rPr>
        <w:t xml:space="preserve"> du signal BDNF-</w:t>
      </w:r>
      <w:proofErr w:type="spellStart"/>
      <w:r w:rsidRPr="00AB3B2F">
        <w:rPr>
          <w:sz w:val="28"/>
          <w:szCs w:val="28"/>
        </w:rPr>
        <w:t>TrkB</w:t>
      </w:r>
      <w:proofErr w:type="spellEnd"/>
      <w:r w:rsidRPr="00AB3B2F">
        <w:rPr>
          <w:sz w:val="28"/>
          <w:szCs w:val="28"/>
        </w:rPr>
        <w:t>.</w:t>
      </w:r>
    </w:p>
    <w:p w14:paraId="36FB2173" w14:textId="77777777" w:rsidR="009B7EBB" w:rsidRPr="00AB3B2F" w:rsidRDefault="009B7EBB" w:rsidP="009B7EBB">
      <w:pPr>
        <w:rPr>
          <w:b/>
          <w:bCs/>
          <w:sz w:val="28"/>
          <w:szCs w:val="28"/>
        </w:rPr>
      </w:pPr>
      <w:r w:rsidRPr="00AB3B2F">
        <w:rPr>
          <w:b/>
          <w:bCs/>
          <w:sz w:val="28"/>
          <w:szCs w:val="28"/>
        </w:rPr>
        <w:t>Marqueurs inflammatoires</w:t>
      </w:r>
    </w:p>
    <w:p w14:paraId="5B3F0F2B" w14:textId="77777777" w:rsidR="009B7EBB" w:rsidRPr="00AB3B2F" w:rsidRDefault="009B7EBB" w:rsidP="009B7EBB">
      <w:pPr>
        <w:rPr>
          <w:sz w:val="28"/>
          <w:szCs w:val="28"/>
        </w:rPr>
      </w:pPr>
      <w:r w:rsidRPr="00AB3B2F">
        <w:rPr>
          <w:sz w:val="28"/>
          <w:szCs w:val="28"/>
        </w:rPr>
        <w:t>Environ un tiers des patients dépressifs présentent une inflammation de bas grade. Les patients DRT montrent des taux plus élevés de :</w:t>
      </w:r>
    </w:p>
    <w:p w14:paraId="20E8AD5A" w14:textId="77777777" w:rsidR="009B7EBB" w:rsidRPr="00AB3B2F" w:rsidRDefault="009B7EBB" w:rsidP="009B7EBB">
      <w:pPr>
        <w:numPr>
          <w:ilvl w:val="0"/>
          <w:numId w:val="7"/>
        </w:numPr>
        <w:spacing w:after="0"/>
        <w:rPr>
          <w:sz w:val="28"/>
          <w:szCs w:val="28"/>
        </w:rPr>
      </w:pPr>
      <w:proofErr w:type="gramStart"/>
      <w:r w:rsidRPr="00AB3B2F">
        <w:rPr>
          <w:sz w:val="28"/>
          <w:szCs w:val="28"/>
        </w:rPr>
        <w:t>facteur</w:t>
      </w:r>
      <w:proofErr w:type="gramEnd"/>
      <w:r w:rsidRPr="00AB3B2F">
        <w:rPr>
          <w:sz w:val="28"/>
          <w:szCs w:val="28"/>
        </w:rPr>
        <w:t xml:space="preserve"> de nécrose tumorale α (TNF-α),</w:t>
      </w:r>
    </w:p>
    <w:p w14:paraId="3453C9F6" w14:textId="16143958" w:rsidR="009B7EBB" w:rsidRPr="00AB3B2F" w:rsidRDefault="009B7EBB" w:rsidP="009B7EBB">
      <w:pPr>
        <w:numPr>
          <w:ilvl w:val="0"/>
          <w:numId w:val="7"/>
        </w:numPr>
        <w:spacing w:after="0"/>
        <w:rPr>
          <w:sz w:val="28"/>
          <w:szCs w:val="28"/>
        </w:rPr>
      </w:pPr>
      <w:proofErr w:type="gramStart"/>
      <w:r w:rsidRPr="00AB3B2F">
        <w:rPr>
          <w:sz w:val="28"/>
          <w:szCs w:val="28"/>
        </w:rPr>
        <w:t>interleukines</w:t>
      </w:r>
      <w:proofErr w:type="gramEnd"/>
      <w:r w:rsidRPr="00AB3B2F">
        <w:rPr>
          <w:sz w:val="28"/>
          <w:szCs w:val="28"/>
        </w:rPr>
        <w:t xml:space="preserve"> IL-1β et IL-6,</w:t>
      </w:r>
    </w:p>
    <w:p w14:paraId="0D779F5D" w14:textId="77777777" w:rsidR="009B7EBB" w:rsidRPr="00AB3B2F" w:rsidRDefault="009B7EBB" w:rsidP="009B7EBB">
      <w:pPr>
        <w:numPr>
          <w:ilvl w:val="0"/>
          <w:numId w:val="7"/>
        </w:numPr>
        <w:rPr>
          <w:sz w:val="28"/>
          <w:szCs w:val="28"/>
        </w:rPr>
      </w:pPr>
      <w:proofErr w:type="gramStart"/>
      <w:r w:rsidRPr="00AB3B2F">
        <w:rPr>
          <w:sz w:val="28"/>
          <w:szCs w:val="28"/>
        </w:rPr>
        <w:t>protéine</w:t>
      </w:r>
      <w:proofErr w:type="gramEnd"/>
      <w:r w:rsidRPr="00AB3B2F">
        <w:rPr>
          <w:sz w:val="28"/>
          <w:szCs w:val="28"/>
        </w:rPr>
        <w:t xml:space="preserve"> C-réactive (CRP).</w:t>
      </w:r>
    </w:p>
    <w:p w14:paraId="412960B7" w14:textId="77777777" w:rsidR="009B7EBB" w:rsidRPr="00AB3B2F" w:rsidRDefault="009B7EBB" w:rsidP="009B7EBB">
      <w:pPr>
        <w:rPr>
          <w:sz w:val="28"/>
          <w:szCs w:val="28"/>
        </w:rPr>
      </w:pPr>
      <w:r w:rsidRPr="00AB3B2F">
        <w:rPr>
          <w:sz w:val="28"/>
          <w:szCs w:val="28"/>
        </w:rPr>
        <w:t xml:space="preserve">Les cytokines pro-inflammatoires perturbent la neurotransmission monoaminergique et favorisent un phénotype </w:t>
      </w:r>
      <w:proofErr w:type="spellStart"/>
      <w:r w:rsidRPr="00AB3B2F">
        <w:rPr>
          <w:sz w:val="28"/>
          <w:szCs w:val="28"/>
        </w:rPr>
        <w:t>microglial</w:t>
      </w:r>
      <w:proofErr w:type="spellEnd"/>
      <w:r w:rsidRPr="00AB3B2F">
        <w:rPr>
          <w:sz w:val="28"/>
          <w:szCs w:val="28"/>
        </w:rPr>
        <w:t xml:space="preserve"> pro-inflammatoire (M1).</w:t>
      </w:r>
    </w:p>
    <w:p w14:paraId="6B703394" w14:textId="77777777" w:rsidR="009B7EBB" w:rsidRPr="00AB3B2F" w:rsidRDefault="009B7EBB" w:rsidP="009B7EBB">
      <w:pPr>
        <w:rPr>
          <w:b/>
          <w:bCs/>
          <w:sz w:val="28"/>
          <w:szCs w:val="28"/>
        </w:rPr>
      </w:pPr>
      <w:r w:rsidRPr="00AB3B2F">
        <w:rPr>
          <w:b/>
          <w:bCs/>
          <w:sz w:val="28"/>
          <w:szCs w:val="28"/>
        </w:rPr>
        <w:t>Voie kynurénine</w:t>
      </w:r>
    </w:p>
    <w:p w14:paraId="4A77B292" w14:textId="77777777" w:rsidR="009B7EBB" w:rsidRPr="00AB3B2F" w:rsidRDefault="009B7EBB" w:rsidP="009B7EBB">
      <w:pPr>
        <w:rPr>
          <w:sz w:val="28"/>
          <w:szCs w:val="28"/>
        </w:rPr>
      </w:pPr>
      <w:r w:rsidRPr="00AB3B2F">
        <w:rPr>
          <w:sz w:val="28"/>
          <w:szCs w:val="28"/>
        </w:rPr>
        <w:t xml:space="preserve">L’inflammation oriente la voie kynurénine vers des métabolites neurotoxiques (acide </w:t>
      </w:r>
      <w:proofErr w:type="spellStart"/>
      <w:r w:rsidRPr="00AB3B2F">
        <w:rPr>
          <w:sz w:val="28"/>
          <w:szCs w:val="28"/>
        </w:rPr>
        <w:t>quinolinique</w:t>
      </w:r>
      <w:proofErr w:type="spellEnd"/>
      <w:r w:rsidRPr="00AB3B2F">
        <w:rPr>
          <w:sz w:val="28"/>
          <w:szCs w:val="28"/>
        </w:rPr>
        <w:t>), associés à :</w:t>
      </w:r>
    </w:p>
    <w:p w14:paraId="6D0A63FA" w14:textId="77777777" w:rsidR="009B7EBB" w:rsidRPr="00AB3B2F" w:rsidRDefault="009B7EBB" w:rsidP="009B7EBB">
      <w:pPr>
        <w:numPr>
          <w:ilvl w:val="0"/>
          <w:numId w:val="30"/>
        </w:numPr>
        <w:spacing w:after="0"/>
        <w:rPr>
          <w:sz w:val="28"/>
          <w:szCs w:val="28"/>
        </w:rPr>
      </w:pPr>
      <w:proofErr w:type="gramStart"/>
      <w:r w:rsidRPr="00AB3B2F">
        <w:rPr>
          <w:sz w:val="28"/>
          <w:szCs w:val="28"/>
        </w:rPr>
        <w:t>anhédonie</w:t>
      </w:r>
      <w:proofErr w:type="gramEnd"/>
      <w:r w:rsidRPr="00AB3B2F">
        <w:rPr>
          <w:sz w:val="28"/>
          <w:szCs w:val="28"/>
        </w:rPr>
        <w:t>,</w:t>
      </w:r>
    </w:p>
    <w:p w14:paraId="42AA5EF6" w14:textId="77777777" w:rsidR="009B7EBB" w:rsidRPr="00AB3B2F" w:rsidRDefault="009B7EBB" w:rsidP="009B7EBB">
      <w:pPr>
        <w:numPr>
          <w:ilvl w:val="0"/>
          <w:numId w:val="30"/>
        </w:numPr>
        <w:spacing w:after="0"/>
        <w:rPr>
          <w:sz w:val="28"/>
          <w:szCs w:val="28"/>
        </w:rPr>
      </w:pPr>
      <w:proofErr w:type="gramStart"/>
      <w:r w:rsidRPr="00AB3B2F">
        <w:rPr>
          <w:sz w:val="28"/>
          <w:szCs w:val="28"/>
        </w:rPr>
        <w:t>diminution</w:t>
      </w:r>
      <w:proofErr w:type="gramEnd"/>
      <w:r w:rsidRPr="00AB3B2F">
        <w:rPr>
          <w:sz w:val="28"/>
          <w:szCs w:val="28"/>
        </w:rPr>
        <w:t xml:space="preserve"> de la réponse aux antidépresseurs,</w:t>
      </w:r>
    </w:p>
    <w:p w14:paraId="1D09E800" w14:textId="77777777" w:rsidR="009B7EBB" w:rsidRPr="00AB3B2F" w:rsidRDefault="009B7EBB" w:rsidP="009B7EBB">
      <w:pPr>
        <w:numPr>
          <w:ilvl w:val="0"/>
          <w:numId w:val="30"/>
        </w:numPr>
        <w:spacing w:after="0"/>
        <w:rPr>
          <w:sz w:val="28"/>
          <w:szCs w:val="28"/>
        </w:rPr>
      </w:pPr>
      <w:proofErr w:type="gramStart"/>
      <w:r w:rsidRPr="00AB3B2F">
        <w:rPr>
          <w:sz w:val="28"/>
          <w:szCs w:val="28"/>
        </w:rPr>
        <w:t>apoptose</w:t>
      </w:r>
      <w:proofErr w:type="gramEnd"/>
      <w:r w:rsidRPr="00AB3B2F">
        <w:rPr>
          <w:sz w:val="28"/>
          <w:szCs w:val="28"/>
        </w:rPr>
        <w:t xml:space="preserve"> neuronale,</w:t>
      </w:r>
    </w:p>
    <w:p w14:paraId="2015F94E" w14:textId="77777777" w:rsidR="009B7EBB" w:rsidRPr="00AB3B2F" w:rsidRDefault="009B7EBB" w:rsidP="009B7EBB">
      <w:pPr>
        <w:numPr>
          <w:ilvl w:val="0"/>
          <w:numId w:val="30"/>
        </w:numPr>
        <w:rPr>
          <w:sz w:val="28"/>
          <w:szCs w:val="28"/>
        </w:rPr>
      </w:pPr>
      <w:proofErr w:type="gramStart"/>
      <w:r w:rsidRPr="00AB3B2F">
        <w:rPr>
          <w:sz w:val="28"/>
          <w:szCs w:val="28"/>
        </w:rPr>
        <w:t>baisse</w:t>
      </w:r>
      <w:proofErr w:type="gramEnd"/>
      <w:r w:rsidRPr="00AB3B2F">
        <w:rPr>
          <w:sz w:val="28"/>
          <w:szCs w:val="28"/>
        </w:rPr>
        <w:t xml:space="preserve"> du BDNF.</w:t>
      </w:r>
    </w:p>
    <w:p w14:paraId="0609ECBF" w14:textId="77777777" w:rsidR="009B7EBB" w:rsidRPr="00AB3B2F" w:rsidRDefault="009B7EBB" w:rsidP="009B7EBB">
      <w:pPr>
        <w:rPr>
          <w:b/>
          <w:bCs/>
          <w:sz w:val="28"/>
          <w:szCs w:val="28"/>
        </w:rPr>
      </w:pPr>
      <w:r w:rsidRPr="00AB3B2F">
        <w:rPr>
          <w:b/>
          <w:bCs/>
          <w:sz w:val="28"/>
          <w:szCs w:val="28"/>
        </w:rPr>
        <w:t>Axe HHS et cercle vicieux</w:t>
      </w:r>
    </w:p>
    <w:p w14:paraId="45CC12D5" w14:textId="77777777" w:rsidR="009B7EBB" w:rsidRPr="00AB3B2F" w:rsidRDefault="009B7EBB" w:rsidP="009B7EBB">
      <w:pPr>
        <w:rPr>
          <w:sz w:val="28"/>
          <w:szCs w:val="28"/>
        </w:rPr>
      </w:pPr>
      <w:r w:rsidRPr="00AB3B2F">
        <w:rPr>
          <w:sz w:val="28"/>
          <w:szCs w:val="28"/>
        </w:rPr>
        <w:t>Le SO désensibilise les récepteurs glucocorticoïdes, entraînant une hyperactivité de l’axe HHS, laquelle augmente à son tour la production d’ERO.</w:t>
      </w:r>
    </w:p>
    <w:p w14:paraId="40FB5F1A" w14:textId="7DB39F65" w:rsidR="009B7EBB" w:rsidRPr="00AB3B2F" w:rsidRDefault="009B7EBB" w:rsidP="009B7EBB">
      <w:pPr>
        <w:rPr>
          <w:sz w:val="28"/>
          <w:szCs w:val="28"/>
        </w:rPr>
      </w:pPr>
    </w:p>
    <w:p w14:paraId="067C4D9A" w14:textId="017FAF0E" w:rsidR="009B7EBB" w:rsidRPr="00AB3B2F" w:rsidRDefault="009B7EBB" w:rsidP="009B7EBB">
      <w:pPr>
        <w:rPr>
          <w:b/>
          <w:bCs/>
          <w:sz w:val="28"/>
          <w:szCs w:val="28"/>
        </w:rPr>
      </w:pPr>
      <w:r w:rsidRPr="00AB3B2F">
        <w:rPr>
          <w:b/>
          <w:bCs/>
          <w:sz w:val="28"/>
          <w:szCs w:val="28"/>
        </w:rPr>
        <w:t>Voies moléculaires impliquées</w:t>
      </w:r>
      <w:r w:rsidR="003F53DC" w:rsidRPr="00AB3B2F">
        <w:rPr>
          <w:b/>
          <w:bCs/>
          <w:sz w:val="28"/>
          <w:szCs w:val="28"/>
        </w:rPr>
        <w:t> :</w:t>
      </w:r>
    </w:p>
    <w:p w14:paraId="69B9C8A9" w14:textId="77777777" w:rsidR="009B7EBB" w:rsidRPr="00AB3B2F" w:rsidRDefault="009B7EBB" w:rsidP="003F53DC">
      <w:pPr>
        <w:pStyle w:val="Paragraphedeliste"/>
        <w:numPr>
          <w:ilvl w:val="0"/>
          <w:numId w:val="31"/>
        </w:numPr>
        <w:rPr>
          <w:b/>
          <w:bCs/>
          <w:sz w:val="28"/>
          <w:szCs w:val="28"/>
        </w:rPr>
      </w:pPr>
      <w:r w:rsidRPr="00AB3B2F">
        <w:rPr>
          <w:b/>
          <w:bCs/>
          <w:sz w:val="28"/>
          <w:szCs w:val="28"/>
        </w:rPr>
        <w:t>Voie Nrf2</w:t>
      </w:r>
    </w:p>
    <w:p w14:paraId="1753F2AF" w14:textId="77777777" w:rsidR="009B7EBB" w:rsidRPr="00AB3B2F" w:rsidRDefault="009B7EBB" w:rsidP="009B7EBB">
      <w:pPr>
        <w:rPr>
          <w:sz w:val="28"/>
          <w:szCs w:val="28"/>
        </w:rPr>
      </w:pPr>
      <w:r w:rsidRPr="00AB3B2F">
        <w:rPr>
          <w:sz w:val="28"/>
          <w:szCs w:val="28"/>
        </w:rPr>
        <w:lastRenderedPageBreak/>
        <w:t>Le facteur nucléaire érythroïde 2-related factor 2 (Nrf2) constitue une défense majeure contre le SO :</w:t>
      </w:r>
    </w:p>
    <w:p w14:paraId="0A91DDA6" w14:textId="77777777" w:rsidR="009B7EBB" w:rsidRPr="00AB3B2F" w:rsidRDefault="009B7EBB" w:rsidP="003F53DC">
      <w:pPr>
        <w:numPr>
          <w:ilvl w:val="0"/>
          <w:numId w:val="32"/>
        </w:numPr>
        <w:spacing w:after="0"/>
        <w:rPr>
          <w:sz w:val="28"/>
          <w:szCs w:val="28"/>
        </w:rPr>
      </w:pPr>
      <w:proofErr w:type="gramStart"/>
      <w:r w:rsidRPr="00AB3B2F">
        <w:rPr>
          <w:sz w:val="28"/>
          <w:szCs w:val="28"/>
        </w:rPr>
        <w:t>translocation</w:t>
      </w:r>
      <w:proofErr w:type="gramEnd"/>
      <w:r w:rsidRPr="00AB3B2F">
        <w:rPr>
          <w:sz w:val="28"/>
          <w:szCs w:val="28"/>
        </w:rPr>
        <w:t xml:space="preserve"> nucléaire en réponse aux ERO,</w:t>
      </w:r>
    </w:p>
    <w:p w14:paraId="18F0D404" w14:textId="77777777" w:rsidR="009B7EBB" w:rsidRPr="00AB3B2F" w:rsidRDefault="009B7EBB" w:rsidP="003F53DC">
      <w:pPr>
        <w:numPr>
          <w:ilvl w:val="0"/>
          <w:numId w:val="32"/>
        </w:numPr>
        <w:spacing w:after="0"/>
        <w:rPr>
          <w:sz w:val="28"/>
          <w:szCs w:val="28"/>
        </w:rPr>
      </w:pPr>
      <w:proofErr w:type="gramStart"/>
      <w:r w:rsidRPr="00AB3B2F">
        <w:rPr>
          <w:sz w:val="28"/>
          <w:szCs w:val="28"/>
        </w:rPr>
        <w:t>induction</w:t>
      </w:r>
      <w:proofErr w:type="gramEnd"/>
      <w:r w:rsidRPr="00AB3B2F">
        <w:rPr>
          <w:sz w:val="28"/>
          <w:szCs w:val="28"/>
        </w:rPr>
        <w:t xml:space="preserve"> d’enzymes antioxydantes,</w:t>
      </w:r>
    </w:p>
    <w:p w14:paraId="6A026575" w14:textId="77777777" w:rsidR="009B7EBB" w:rsidRPr="00AB3B2F" w:rsidRDefault="009B7EBB" w:rsidP="003F53DC">
      <w:pPr>
        <w:numPr>
          <w:ilvl w:val="0"/>
          <w:numId w:val="32"/>
        </w:numPr>
        <w:rPr>
          <w:sz w:val="28"/>
          <w:szCs w:val="28"/>
        </w:rPr>
      </w:pPr>
      <w:proofErr w:type="gramStart"/>
      <w:r w:rsidRPr="00AB3B2F">
        <w:rPr>
          <w:sz w:val="28"/>
          <w:szCs w:val="28"/>
        </w:rPr>
        <w:t>stimulation</w:t>
      </w:r>
      <w:proofErr w:type="gramEnd"/>
      <w:r w:rsidRPr="00AB3B2F">
        <w:rPr>
          <w:sz w:val="28"/>
          <w:szCs w:val="28"/>
        </w:rPr>
        <w:t xml:space="preserve"> de l’IL-10 et du BDNF.</w:t>
      </w:r>
    </w:p>
    <w:p w14:paraId="78FB28B2" w14:textId="77777777" w:rsidR="009B7EBB" w:rsidRPr="00AB3B2F" w:rsidRDefault="009B7EBB" w:rsidP="009B7EBB">
      <w:pPr>
        <w:rPr>
          <w:sz w:val="28"/>
          <w:szCs w:val="28"/>
        </w:rPr>
      </w:pPr>
      <w:r w:rsidRPr="00AB3B2F">
        <w:rPr>
          <w:sz w:val="28"/>
          <w:szCs w:val="28"/>
        </w:rPr>
        <w:t>Une diminution du BDNF inhibe Nrf2, aggravant l’épuisement antioxydant.</w:t>
      </w:r>
    </w:p>
    <w:p w14:paraId="565523C8" w14:textId="77777777" w:rsidR="009B7EBB" w:rsidRPr="00AB3B2F" w:rsidRDefault="009B7EBB" w:rsidP="009B7EBB">
      <w:pPr>
        <w:rPr>
          <w:sz w:val="28"/>
          <w:szCs w:val="28"/>
        </w:rPr>
      </w:pPr>
      <w:r w:rsidRPr="00AB3B2F">
        <w:rPr>
          <w:sz w:val="28"/>
          <w:szCs w:val="28"/>
        </w:rPr>
        <w:t>Des modèles animaux montrent qu’une suppression de Nrf2 entraîne :</w:t>
      </w:r>
    </w:p>
    <w:p w14:paraId="1B4A97E2" w14:textId="77777777" w:rsidR="009B7EBB" w:rsidRPr="00AB3B2F" w:rsidRDefault="009B7EBB" w:rsidP="003F53DC">
      <w:pPr>
        <w:numPr>
          <w:ilvl w:val="0"/>
          <w:numId w:val="33"/>
        </w:numPr>
        <w:spacing w:after="0"/>
        <w:rPr>
          <w:sz w:val="28"/>
          <w:szCs w:val="28"/>
        </w:rPr>
      </w:pPr>
      <w:proofErr w:type="gramStart"/>
      <w:r w:rsidRPr="00AB3B2F">
        <w:rPr>
          <w:sz w:val="28"/>
          <w:szCs w:val="28"/>
        </w:rPr>
        <w:t>baisse</w:t>
      </w:r>
      <w:proofErr w:type="gramEnd"/>
      <w:r w:rsidRPr="00AB3B2F">
        <w:rPr>
          <w:sz w:val="28"/>
          <w:szCs w:val="28"/>
        </w:rPr>
        <w:t xml:space="preserve"> de sérotonine et dopamine,</w:t>
      </w:r>
    </w:p>
    <w:p w14:paraId="17B185FB" w14:textId="77777777" w:rsidR="009B7EBB" w:rsidRPr="00AB3B2F" w:rsidRDefault="009B7EBB" w:rsidP="003F53DC">
      <w:pPr>
        <w:numPr>
          <w:ilvl w:val="0"/>
          <w:numId w:val="33"/>
        </w:numPr>
        <w:spacing w:after="0"/>
        <w:rPr>
          <w:sz w:val="28"/>
          <w:szCs w:val="28"/>
        </w:rPr>
      </w:pPr>
      <w:proofErr w:type="gramStart"/>
      <w:r w:rsidRPr="00AB3B2F">
        <w:rPr>
          <w:sz w:val="28"/>
          <w:szCs w:val="28"/>
        </w:rPr>
        <w:t>augmentation</w:t>
      </w:r>
      <w:proofErr w:type="gramEnd"/>
      <w:r w:rsidRPr="00AB3B2F">
        <w:rPr>
          <w:sz w:val="28"/>
          <w:szCs w:val="28"/>
        </w:rPr>
        <w:t xml:space="preserve"> du glutamate,</w:t>
      </w:r>
    </w:p>
    <w:p w14:paraId="106DAF99" w14:textId="77777777" w:rsidR="009B7EBB" w:rsidRPr="00AB3B2F" w:rsidRDefault="009B7EBB" w:rsidP="003F53DC">
      <w:pPr>
        <w:numPr>
          <w:ilvl w:val="0"/>
          <w:numId w:val="33"/>
        </w:numPr>
        <w:rPr>
          <w:sz w:val="28"/>
          <w:szCs w:val="28"/>
        </w:rPr>
      </w:pPr>
      <w:proofErr w:type="gramStart"/>
      <w:r w:rsidRPr="00AB3B2F">
        <w:rPr>
          <w:sz w:val="28"/>
          <w:szCs w:val="28"/>
        </w:rPr>
        <w:t>comportement</w:t>
      </w:r>
      <w:proofErr w:type="gramEnd"/>
      <w:r w:rsidRPr="00AB3B2F">
        <w:rPr>
          <w:sz w:val="28"/>
          <w:szCs w:val="28"/>
        </w:rPr>
        <w:t xml:space="preserve"> dépressif.</w:t>
      </w:r>
    </w:p>
    <w:p w14:paraId="5AF64A03" w14:textId="77777777" w:rsidR="009B7EBB" w:rsidRPr="00AB3B2F" w:rsidRDefault="009B7EBB" w:rsidP="003F53DC">
      <w:pPr>
        <w:pStyle w:val="Paragraphedeliste"/>
        <w:numPr>
          <w:ilvl w:val="0"/>
          <w:numId w:val="31"/>
        </w:numPr>
        <w:rPr>
          <w:b/>
          <w:bCs/>
          <w:sz w:val="28"/>
          <w:szCs w:val="28"/>
        </w:rPr>
      </w:pPr>
      <w:r w:rsidRPr="00AB3B2F">
        <w:rPr>
          <w:b/>
          <w:bCs/>
          <w:sz w:val="28"/>
          <w:szCs w:val="28"/>
        </w:rPr>
        <w:t>Voie NF-</w:t>
      </w:r>
      <w:proofErr w:type="spellStart"/>
      <w:r w:rsidRPr="00AB3B2F">
        <w:rPr>
          <w:b/>
          <w:bCs/>
          <w:sz w:val="28"/>
          <w:szCs w:val="28"/>
        </w:rPr>
        <w:t>κB</w:t>
      </w:r>
      <w:proofErr w:type="spellEnd"/>
      <w:r w:rsidRPr="00AB3B2F">
        <w:rPr>
          <w:b/>
          <w:bCs/>
          <w:sz w:val="28"/>
          <w:szCs w:val="28"/>
        </w:rPr>
        <w:t xml:space="preserve"> et </w:t>
      </w:r>
      <w:proofErr w:type="spellStart"/>
      <w:r w:rsidRPr="00AB3B2F">
        <w:rPr>
          <w:b/>
          <w:bCs/>
          <w:sz w:val="28"/>
          <w:szCs w:val="28"/>
        </w:rPr>
        <w:t>inflammasomes</w:t>
      </w:r>
      <w:proofErr w:type="spellEnd"/>
    </w:p>
    <w:p w14:paraId="35822F3B" w14:textId="77777777" w:rsidR="009B7EBB" w:rsidRPr="00AB3B2F" w:rsidRDefault="009B7EBB" w:rsidP="009B7EBB">
      <w:pPr>
        <w:rPr>
          <w:sz w:val="28"/>
          <w:szCs w:val="28"/>
        </w:rPr>
      </w:pPr>
      <w:r w:rsidRPr="00AB3B2F">
        <w:rPr>
          <w:sz w:val="28"/>
          <w:szCs w:val="28"/>
        </w:rPr>
        <w:t>Les ERO activent :</w:t>
      </w:r>
    </w:p>
    <w:p w14:paraId="5E5AB19D" w14:textId="77777777" w:rsidR="009B7EBB" w:rsidRPr="00AB3B2F" w:rsidRDefault="009B7EBB" w:rsidP="003F53DC">
      <w:pPr>
        <w:numPr>
          <w:ilvl w:val="0"/>
          <w:numId w:val="34"/>
        </w:numPr>
        <w:spacing w:after="0"/>
        <w:rPr>
          <w:sz w:val="28"/>
          <w:szCs w:val="28"/>
        </w:rPr>
      </w:pPr>
      <w:r w:rsidRPr="00AB3B2F">
        <w:rPr>
          <w:sz w:val="28"/>
          <w:szCs w:val="28"/>
        </w:rPr>
        <w:t>NF-</w:t>
      </w:r>
      <w:proofErr w:type="spellStart"/>
      <w:r w:rsidRPr="00AB3B2F">
        <w:rPr>
          <w:sz w:val="28"/>
          <w:szCs w:val="28"/>
        </w:rPr>
        <w:t>κB</w:t>
      </w:r>
      <w:proofErr w:type="spellEnd"/>
      <w:r w:rsidRPr="00AB3B2F">
        <w:rPr>
          <w:sz w:val="28"/>
          <w:szCs w:val="28"/>
        </w:rPr>
        <w:t>,</w:t>
      </w:r>
    </w:p>
    <w:p w14:paraId="585CC34D" w14:textId="77777777" w:rsidR="009B7EBB" w:rsidRPr="00AB3B2F" w:rsidRDefault="009B7EBB" w:rsidP="003F53DC">
      <w:pPr>
        <w:numPr>
          <w:ilvl w:val="0"/>
          <w:numId w:val="34"/>
        </w:numPr>
        <w:spacing w:after="0"/>
        <w:rPr>
          <w:sz w:val="28"/>
          <w:szCs w:val="28"/>
        </w:rPr>
      </w:pPr>
      <w:proofErr w:type="gramStart"/>
      <w:r w:rsidRPr="00AB3B2F">
        <w:rPr>
          <w:sz w:val="28"/>
          <w:szCs w:val="28"/>
        </w:rPr>
        <w:t>kinases</w:t>
      </w:r>
      <w:proofErr w:type="gramEnd"/>
      <w:r w:rsidRPr="00AB3B2F">
        <w:rPr>
          <w:sz w:val="28"/>
          <w:szCs w:val="28"/>
        </w:rPr>
        <w:t xml:space="preserve"> JNK et ERK,</w:t>
      </w:r>
    </w:p>
    <w:p w14:paraId="79BD570E" w14:textId="77777777" w:rsidR="009B7EBB" w:rsidRPr="00AB3B2F" w:rsidRDefault="009B7EBB" w:rsidP="003F53DC">
      <w:pPr>
        <w:numPr>
          <w:ilvl w:val="0"/>
          <w:numId w:val="34"/>
        </w:numPr>
        <w:rPr>
          <w:sz w:val="28"/>
          <w:szCs w:val="28"/>
        </w:rPr>
      </w:pPr>
      <w:proofErr w:type="gramStart"/>
      <w:r w:rsidRPr="00AB3B2F">
        <w:rPr>
          <w:sz w:val="28"/>
          <w:szCs w:val="28"/>
        </w:rPr>
        <w:t>inflammasomes</w:t>
      </w:r>
      <w:proofErr w:type="gramEnd"/>
      <w:r w:rsidRPr="00AB3B2F">
        <w:rPr>
          <w:sz w:val="28"/>
          <w:szCs w:val="28"/>
        </w:rPr>
        <w:t xml:space="preserve"> (notamment NLRP3),</w:t>
      </w:r>
    </w:p>
    <w:p w14:paraId="6FC1BE7A" w14:textId="77777777" w:rsidR="009B7EBB" w:rsidRPr="00AB3B2F" w:rsidRDefault="009B7EBB" w:rsidP="009B7EBB">
      <w:pPr>
        <w:rPr>
          <w:sz w:val="28"/>
          <w:szCs w:val="28"/>
        </w:rPr>
      </w:pPr>
      <w:proofErr w:type="gramStart"/>
      <w:r w:rsidRPr="00AB3B2F">
        <w:rPr>
          <w:sz w:val="28"/>
          <w:szCs w:val="28"/>
        </w:rPr>
        <w:t>favorisant</w:t>
      </w:r>
      <w:proofErr w:type="gramEnd"/>
      <w:r w:rsidRPr="00AB3B2F">
        <w:rPr>
          <w:sz w:val="28"/>
          <w:szCs w:val="28"/>
        </w:rPr>
        <w:t xml:space="preserve"> la </w:t>
      </w:r>
      <w:proofErr w:type="spellStart"/>
      <w:r w:rsidRPr="00AB3B2F">
        <w:rPr>
          <w:sz w:val="28"/>
          <w:szCs w:val="28"/>
        </w:rPr>
        <w:t>pyroptose</w:t>
      </w:r>
      <w:proofErr w:type="spellEnd"/>
      <w:r w:rsidRPr="00AB3B2F">
        <w:rPr>
          <w:sz w:val="28"/>
          <w:szCs w:val="28"/>
        </w:rPr>
        <w:t xml:space="preserve"> et la neuro-inflammation.</w:t>
      </w:r>
    </w:p>
    <w:p w14:paraId="76B53B0A" w14:textId="77777777" w:rsidR="009B7EBB" w:rsidRPr="00AB3B2F" w:rsidRDefault="009B7EBB" w:rsidP="009B7EBB">
      <w:pPr>
        <w:rPr>
          <w:sz w:val="28"/>
          <w:szCs w:val="28"/>
        </w:rPr>
      </w:pPr>
      <w:r w:rsidRPr="00AB3B2F">
        <w:rPr>
          <w:sz w:val="28"/>
          <w:szCs w:val="28"/>
        </w:rPr>
        <w:t>La diminution de NRROS augmente l’activité NOX-2, amplifiant la production d’ERO.</w:t>
      </w:r>
    </w:p>
    <w:p w14:paraId="21A6DE0E" w14:textId="77777777" w:rsidR="009B7EBB" w:rsidRPr="00AB3B2F" w:rsidRDefault="009B7EBB" w:rsidP="009B7EBB">
      <w:pPr>
        <w:rPr>
          <w:b/>
          <w:bCs/>
          <w:sz w:val="28"/>
          <w:szCs w:val="28"/>
        </w:rPr>
      </w:pPr>
      <w:r w:rsidRPr="00AB3B2F">
        <w:rPr>
          <w:b/>
          <w:bCs/>
          <w:sz w:val="28"/>
          <w:szCs w:val="28"/>
        </w:rPr>
        <w:t>Excitotoxicité glutamatergique</w:t>
      </w:r>
    </w:p>
    <w:p w14:paraId="19A17676" w14:textId="77777777" w:rsidR="009B7EBB" w:rsidRPr="00AB3B2F" w:rsidRDefault="009B7EBB" w:rsidP="009B7EBB">
      <w:pPr>
        <w:rPr>
          <w:sz w:val="28"/>
          <w:szCs w:val="28"/>
        </w:rPr>
      </w:pPr>
      <w:r w:rsidRPr="00AB3B2F">
        <w:rPr>
          <w:sz w:val="28"/>
          <w:szCs w:val="28"/>
        </w:rPr>
        <w:t>Le SO :</w:t>
      </w:r>
    </w:p>
    <w:p w14:paraId="624A4942" w14:textId="77777777" w:rsidR="009B7EBB" w:rsidRPr="00AB3B2F" w:rsidRDefault="009B7EBB" w:rsidP="003F53DC">
      <w:pPr>
        <w:numPr>
          <w:ilvl w:val="0"/>
          <w:numId w:val="35"/>
        </w:numPr>
        <w:spacing w:after="0"/>
        <w:rPr>
          <w:sz w:val="28"/>
          <w:szCs w:val="28"/>
        </w:rPr>
      </w:pPr>
      <w:proofErr w:type="gramStart"/>
      <w:r w:rsidRPr="00AB3B2F">
        <w:rPr>
          <w:sz w:val="28"/>
          <w:szCs w:val="28"/>
        </w:rPr>
        <w:t>réduit</w:t>
      </w:r>
      <w:proofErr w:type="gramEnd"/>
      <w:r w:rsidRPr="00AB3B2F">
        <w:rPr>
          <w:sz w:val="28"/>
          <w:szCs w:val="28"/>
        </w:rPr>
        <w:t xml:space="preserve"> l’expression du transporteur glutamatergique GLT-1 astrocytaire,</w:t>
      </w:r>
    </w:p>
    <w:p w14:paraId="56E95240" w14:textId="77777777" w:rsidR="009B7EBB" w:rsidRPr="00AB3B2F" w:rsidRDefault="009B7EBB" w:rsidP="003F53DC">
      <w:pPr>
        <w:numPr>
          <w:ilvl w:val="0"/>
          <w:numId w:val="35"/>
        </w:numPr>
        <w:spacing w:after="0"/>
        <w:rPr>
          <w:sz w:val="28"/>
          <w:szCs w:val="28"/>
        </w:rPr>
      </w:pPr>
      <w:proofErr w:type="gramStart"/>
      <w:r w:rsidRPr="00AB3B2F">
        <w:rPr>
          <w:sz w:val="28"/>
          <w:szCs w:val="28"/>
        </w:rPr>
        <w:t>augmente</w:t>
      </w:r>
      <w:proofErr w:type="gramEnd"/>
      <w:r w:rsidRPr="00AB3B2F">
        <w:rPr>
          <w:sz w:val="28"/>
          <w:szCs w:val="28"/>
        </w:rPr>
        <w:t xml:space="preserve"> le glutamate extracellulaire,</w:t>
      </w:r>
    </w:p>
    <w:p w14:paraId="500542F5" w14:textId="77777777" w:rsidR="009B7EBB" w:rsidRPr="00AB3B2F" w:rsidRDefault="009B7EBB" w:rsidP="003F53DC">
      <w:pPr>
        <w:numPr>
          <w:ilvl w:val="0"/>
          <w:numId w:val="35"/>
        </w:numPr>
        <w:rPr>
          <w:sz w:val="28"/>
          <w:szCs w:val="28"/>
        </w:rPr>
      </w:pPr>
      <w:proofErr w:type="gramStart"/>
      <w:r w:rsidRPr="00AB3B2F">
        <w:rPr>
          <w:sz w:val="28"/>
          <w:szCs w:val="28"/>
        </w:rPr>
        <w:t>induit</w:t>
      </w:r>
      <w:proofErr w:type="gramEnd"/>
      <w:r w:rsidRPr="00AB3B2F">
        <w:rPr>
          <w:sz w:val="28"/>
          <w:szCs w:val="28"/>
        </w:rPr>
        <w:t xml:space="preserve"> dysfonction mitochondriale.</w:t>
      </w:r>
    </w:p>
    <w:p w14:paraId="4A9A5B74" w14:textId="703B05FF" w:rsidR="009B7EBB" w:rsidRPr="00AB3B2F" w:rsidRDefault="009B7EBB" w:rsidP="00896C03">
      <w:pPr>
        <w:rPr>
          <w:sz w:val="28"/>
          <w:szCs w:val="28"/>
        </w:rPr>
      </w:pPr>
      <w:r w:rsidRPr="00AB3B2F">
        <w:rPr>
          <w:sz w:val="28"/>
          <w:szCs w:val="28"/>
        </w:rPr>
        <w:t>L’activation des récepteurs NMDA diminue également le BDNF.</w:t>
      </w:r>
    </w:p>
    <w:p w14:paraId="1EB3407E" w14:textId="77777777" w:rsidR="009B7EBB" w:rsidRPr="00AB3B2F" w:rsidRDefault="009B7EBB" w:rsidP="009B7EBB">
      <w:pPr>
        <w:rPr>
          <w:b/>
          <w:bCs/>
          <w:sz w:val="28"/>
          <w:szCs w:val="28"/>
        </w:rPr>
      </w:pPr>
      <w:r w:rsidRPr="00AB3B2F">
        <w:rPr>
          <w:b/>
          <w:bCs/>
          <w:sz w:val="28"/>
          <w:szCs w:val="28"/>
        </w:rPr>
        <w:t>Biomarqueurs du stress oxydatif</w:t>
      </w:r>
    </w:p>
    <w:p w14:paraId="5DBDE2F6" w14:textId="77777777" w:rsidR="009B7EBB" w:rsidRPr="00AB3B2F" w:rsidRDefault="009B7EBB" w:rsidP="009B7EBB">
      <w:pPr>
        <w:rPr>
          <w:sz w:val="28"/>
          <w:szCs w:val="28"/>
        </w:rPr>
      </w:pPr>
      <w:r w:rsidRPr="00AB3B2F">
        <w:rPr>
          <w:sz w:val="28"/>
          <w:szCs w:val="28"/>
        </w:rPr>
        <w:t>Les données observationnelles montrent :</w:t>
      </w:r>
    </w:p>
    <w:p w14:paraId="58B8D241" w14:textId="77777777" w:rsidR="009B7EBB" w:rsidRPr="00AB3B2F" w:rsidRDefault="009B7EBB" w:rsidP="00896C03">
      <w:pPr>
        <w:numPr>
          <w:ilvl w:val="0"/>
          <w:numId w:val="36"/>
        </w:numPr>
        <w:spacing w:after="0"/>
        <w:rPr>
          <w:sz w:val="28"/>
          <w:szCs w:val="28"/>
        </w:rPr>
      </w:pPr>
      <w:proofErr w:type="gramStart"/>
      <w:r w:rsidRPr="00AB3B2F">
        <w:rPr>
          <w:sz w:val="28"/>
          <w:szCs w:val="28"/>
        </w:rPr>
        <w:t>corrélation</w:t>
      </w:r>
      <w:proofErr w:type="gramEnd"/>
      <w:r w:rsidRPr="00AB3B2F">
        <w:rPr>
          <w:sz w:val="28"/>
          <w:szCs w:val="28"/>
        </w:rPr>
        <w:t xml:space="preserve"> positive entre sévérité dépressive et SO,</w:t>
      </w:r>
    </w:p>
    <w:p w14:paraId="4566EE1D" w14:textId="77777777" w:rsidR="009B7EBB" w:rsidRPr="00AB3B2F" w:rsidRDefault="009B7EBB" w:rsidP="00896C03">
      <w:pPr>
        <w:numPr>
          <w:ilvl w:val="0"/>
          <w:numId w:val="36"/>
        </w:numPr>
        <w:rPr>
          <w:sz w:val="28"/>
          <w:szCs w:val="28"/>
        </w:rPr>
      </w:pPr>
      <w:proofErr w:type="gramStart"/>
      <w:r w:rsidRPr="00AB3B2F">
        <w:rPr>
          <w:sz w:val="28"/>
          <w:szCs w:val="28"/>
        </w:rPr>
        <w:t>corrélation</w:t>
      </w:r>
      <w:proofErr w:type="gramEnd"/>
      <w:r w:rsidRPr="00AB3B2F">
        <w:rPr>
          <w:sz w:val="28"/>
          <w:szCs w:val="28"/>
        </w:rPr>
        <w:t xml:space="preserve"> négative avec le statut antioxydant.</w:t>
      </w:r>
    </w:p>
    <w:p w14:paraId="18C9BAF6" w14:textId="77777777" w:rsidR="009B7EBB" w:rsidRPr="00AB3B2F" w:rsidRDefault="009B7EBB" w:rsidP="009B7EBB">
      <w:pPr>
        <w:rPr>
          <w:b/>
          <w:bCs/>
          <w:sz w:val="28"/>
          <w:szCs w:val="28"/>
        </w:rPr>
      </w:pPr>
      <w:r w:rsidRPr="00AB3B2F">
        <w:rPr>
          <w:b/>
          <w:bCs/>
          <w:sz w:val="28"/>
          <w:szCs w:val="28"/>
        </w:rPr>
        <w:t>Marqueurs élevés</w:t>
      </w:r>
    </w:p>
    <w:p w14:paraId="0E161C7A" w14:textId="77777777" w:rsidR="009B7EBB" w:rsidRPr="00AB3B2F" w:rsidRDefault="009B7EBB" w:rsidP="00896C03">
      <w:pPr>
        <w:numPr>
          <w:ilvl w:val="0"/>
          <w:numId w:val="37"/>
        </w:numPr>
        <w:spacing w:after="0"/>
        <w:rPr>
          <w:sz w:val="28"/>
          <w:szCs w:val="28"/>
        </w:rPr>
      </w:pPr>
      <w:r w:rsidRPr="00AB3B2F">
        <w:rPr>
          <w:sz w:val="28"/>
          <w:szCs w:val="28"/>
        </w:rPr>
        <w:t>8-isoprostane</w:t>
      </w:r>
    </w:p>
    <w:p w14:paraId="014F3523" w14:textId="77777777" w:rsidR="009B7EBB" w:rsidRPr="00AB3B2F" w:rsidRDefault="009B7EBB" w:rsidP="00896C03">
      <w:pPr>
        <w:numPr>
          <w:ilvl w:val="0"/>
          <w:numId w:val="37"/>
        </w:numPr>
        <w:spacing w:after="0"/>
        <w:rPr>
          <w:sz w:val="28"/>
          <w:szCs w:val="28"/>
        </w:rPr>
      </w:pPr>
      <w:proofErr w:type="spellStart"/>
      <w:proofErr w:type="gramStart"/>
      <w:r w:rsidRPr="00AB3B2F">
        <w:rPr>
          <w:sz w:val="28"/>
          <w:szCs w:val="28"/>
        </w:rPr>
        <w:t>malondialdéhyde</w:t>
      </w:r>
      <w:proofErr w:type="spellEnd"/>
      <w:proofErr w:type="gramEnd"/>
      <w:r w:rsidRPr="00AB3B2F">
        <w:rPr>
          <w:sz w:val="28"/>
          <w:szCs w:val="28"/>
        </w:rPr>
        <w:t xml:space="preserve"> (MDA)</w:t>
      </w:r>
    </w:p>
    <w:p w14:paraId="56B637C3" w14:textId="77777777" w:rsidR="009B7EBB" w:rsidRPr="00AB3B2F" w:rsidRDefault="009B7EBB" w:rsidP="00896C03">
      <w:pPr>
        <w:numPr>
          <w:ilvl w:val="0"/>
          <w:numId w:val="37"/>
        </w:numPr>
        <w:spacing w:after="0"/>
        <w:rPr>
          <w:sz w:val="28"/>
          <w:szCs w:val="28"/>
        </w:rPr>
      </w:pPr>
      <w:r w:rsidRPr="00AB3B2F">
        <w:rPr>
          <w:sz w:val="28"/>
          <w:szCs w:val="28"/>
        </w:rPr>
        <w:t>8-hydroxy-2′-désoxyguanosine (8-OHdG)</w:t>
      </w:r>
    </w:p>
    <w:p w14:paraId="27860896" w14:textId="77777777" w:rsidR="009B7EBB" w:rsidRPr="00AB3B2F" w:rsidRDefault="009B7EBB" w:rsidP="009B7EBB">
      <w:pPr>
        <w:rPr>
          <w:b/>
          <w:bCs/>
          <w:sz w:val="28"/>
          <w:szCs w:val="28"/>
        </w:rPr>
      </w:pPr>
      <w:r w:rsidRPr="00AB3B2F">
        <w:rPr>
          <w:b/>
          <w:bCs/>
          <w:sz w:val="28"/>
          <w:szCs w:val="28"/>
        </w:rPr>
        <w:lastRenderedPageBreak/>
        <w:t>Enzymes diminuées</w:t>
      </w:r>
    </w:p>
    <w:p w14:paraId="5C043224" w14:textId="77777777" w:rsidR="009B7EBB" w:rsidRPr="00AB3B2F" w:rsidRDefault="009B7EBB" w:rsidP="00896C03">
      <w:pPr>
        <w:numPr>
          <w:ilvl w:val="0"/>
          <w:numId w:val="38"/>
        </w:numPr>
        <w:spacing w:after="0"/>
        <w:rPr>
          <w:sz w:val="28"/>
          <w:szCs w:val="28"/>
        </w:rPr>
      </w:pPr>
      <w:proofErr w:type="gramStart"/>
      <w:r w:rsidRPr="00AB3B2F">
        <w:rPr>
          <w:sz w:val="28"/>
          <w:szCs w:val="28"/>
        </w:rPr>
        <w:t>glutathion</w:t>
      </w:r>
      <w:proofErr w:type="gramEnd"/>
      <w:r w:rsidRPr="00AB3B2F">
        <w:rPr>
          <w:sz w:val="28"/>
          <w:szCs w:val="28"/>
        </w:rPr>
        <w:t xml:space="preserve"> peroxydase (</w:t>
      </w:r>
      <w:proofErr w:type="spellStart"/>
      <w:r w:rsidRPr="00AB3B2F">
        <w:rPr>
          <w:sz w:val="28"/>
          <w:szCs w:val="28"/>
        </w:rPr>
        <w:t>GPx</w:t>
      </w:r>
      <w:proofErr w:type="spellEnd"/>
      <w:r w:rsidRPr="00AB3B2F">
        <w:rPr>
          <w:sz w:val="28"/>
          <w:szCs w:val="28"/>
        </w:rPr>
        <w:t>)</w:t>
      </w:r>
    </w:p>
    <w:p w14:paraId="28046C24" w14:textId="77777777" w:rsidR="009B7EBB" w:rsidRPr="00AB3B2F" w:rsidRDefault="009B7EBB" w:rsidP="00896C03">
      <w:pPr>
        <w:numPr>
          <w:ilvl w:val="0"/>
          <w:numId w:val="38"/>
        </w:numPr>
        <w:rPr>
          <w:sz w:val="28"/>
          <w:szCs w:val="28"/>
        </w:rPr>
      </w:pPr>
      <w:proofErr w:type="gramStart"/>
      <w:r w:rsidRPr="00AB3B2F">
        <w:rPr>
          <w:sz w:val="28"/>
          <w:szCs w:val="28"/>
        </w:rPr>
        <w:t>superoxyde</w:t>
      </w:r>
      <w:proofErr w:type="gramEnd"/>
      <w:r w:rsidRPr="00AB3B2F">
        <w:rPr>
          <w:sz w:val="28"/>
          <w:szCs w:val="28"/>
        </w:rPr>
        <w:t xml:space="preserve"> dismutase (SOD)</w:t>
      </w:r>
    </w:p>
    <w:p w14:paraId="4CB56B7B" w14:textId="77777777" w:rsidR="009B7EBB" w:rsidRPr="00AB3B2F" w:rsidRDefault="009B7EBB" w:rsidP="009B7EBB">
      <w:pPr>
        <w:rPr>
          <w:sz w:val="28"/>
          <w:szCs w:val="28"/>
        </w:rPr>
      </w:pPr>
      <w:r w:rsidRPr="00AB3B2F">
        <w:rPr>
          <w:sz w:val="28"/>
          <w:szCs w:val="28"/>
        </w:rPr>
        <w:t>Des taux plus élevés d’H₂O₂ et plus faibles de SOD ont été observés dans la DRT.</w:t>
      </w:r>
    </w:p>
    <w:p w14:paraId="66E935AF" w14:textId="77777777" w:rsidR="009B7EBB" w:rsidRPr="00AB3B2F" w:rsidRDefault="009B7EBB" w:rsidP="009B7EBB">
      <w:pPr>
        <w:rPr>
          <w:b/>
          <w:bCs/>
          <w:sz w:val="28"/>
          <w:szCs w:val="28"/>
        </w:rPr>
      </w:pPr>
      <w:r w:rsidRPr="00AB3B2F">
        <w:rPr>
          <w:b/>
          <w:bCs/>
          <w:sz w:val="28"/>
          <w:szCs w:val="28"/>
        </w:rPr>
        <w:t>Facteurs nutritionnels</w:t>
      </w:r>
    </w:p>
    <w:p w14:paraId="1BBD58E9" w14:textId="77777777" w:rsidR="009B7EBB" w:rsidRPr="00AB3B2F" w:rsidRDefault="009B7EBB" w:rsidP="009B7EBB">
      <w:pPr>
        <w:rPr>
          <w:sz w:val="28"/>
          <w:szCs w:val="28"/>
        </w:rPr>
      </w:pPr>
      <w:r w:rsidRPr="00AB3B2F">
        <w:rPr>
          <w:sz w:val="28"/>
          <w:szCs w:val="28"/>
        </w:rPr>
        <w:t>Les patients dépressifs présentent souvent des niveaux réduits de :</w:t>
      </w:r>
    </w:p>
    <w:p w14:paraId="4A08B06B" w14:textId="77777777" w:rsidR="009B7EBB" w:rsidRPr="00AB3B2F" w:rsidRDefault="009B7EBB" w:rsidP="004A196D">
      <w:pPr>
        <w:numPr>
          <w:ilvl w:val="0"/>
          <w:numId w:val="39"/>
        </w:numPr>
        <w:spacing w:after="0"/>
        <w:rPr>
          <w:sz w:val="28"/>
          <w:szCs w:val="28"/>
        </w:rPr>
      </w:pPr>
      <w:proofErr w:type="gramStart"/>
      <w:r w:rsidRPr="00AB3B2F">
        <w:rPr>
          <w:sz w:val="28"/>
          <w:szCs w:val="28"/>
        </w:rPr>
        <w:t>coenzyme</w:t>
      </w:r>
      <w:proofErr w:type="gramEnd"/>
      <w:r w:rsidRPr="00AB3B2F">
        <w:rPr>
          <w:sz w:val="28"/>
          <w:szCs w:val="28"/>
        </w:rPr>
        <w:t xml:space="preserve"> Q10,</w:t>
      </w:r>
    </w:p>
    <w:p w14:paraId="4A64E78A" w14:textId="77777777" w:rsidR="009B7EBB" w:rsidRPr="00AB3B2F" w:rsidRDefault="009B7EBB" w:rsidP="004A196D">
      <w:pPr>
        <w:numPr>
          <w:ilvl w:val="0"/>
          <w:numId w:val="39"/>
        </w:numPr>
        <w:spacing w:after="0"/>
        <w:rPr>
          <w:sz w:val="28"/>
          <w:szCs w:val="28"/>
        </w:rPr>
      </w:pPr>
      <w:proofErr w:type="gramStart"/>
      <w:r w:rsidRPr="00AB3B2F">
        <w:rPr>
          <w:sz w:val="28"/>
          <w:szCs w:val="28"/>
        </w:rPr>
        <w:t>glutathion</w:t>
      </w:r>
      <w:proofErr w:type="gramEnd"/>
      <w:r w:rsidRPr="00AB3B2F">
        <w:rPr>
          <w:sz w:val="28"/>
          <w:szCs w:val="28"/>
        </w:rPr>
        <w:t>,</w:t>
      </w:r>
    </w:p>
    <w:p w14:paraId="1C137DD7" w14:textId="77777777" w:rsidR="009B7EBB" w:rsidRPr="00AB3B2F" w:rsidRDefault="009B7EBB" w:rsidP="004A196D">
      <w:pPr>
        <w:numPr>
          <w:ilvl w:val="0"/>
          <w:numId w:val="39"/>
        </w:numPr>
        <w:spacing w:after="0"/>
        <w:rPr>
          <w:sz w:val="28"/>
          <w:szCs w:val="28"/>
        </w:rPr>
      </w:pPr>
      <w:proofErr w:type="gramStart"/>
      <w:r w:rsidRPr="00AB3B2F">
        <w:rPr>
          <w:sz w:val="28"/>
          <w:szCs w:val="28"/>
        </w:rPr>
        <w:t>vitamines</w:t>
      </w:r>
      <w:proofErr w:type="gramEnd"/>
      <w:r w:rsidRPr="00AB3B2F">
        <w:rPr>
          <w:sz w:val="28"/>
          <w:szCs w:val="28"/>
        </w:rPr>
        <w:t xml:space="preserve"> C et E,</w:t>
      </w:r>
    </w:p>
    <w:p w14:paraId="32CF5961" w14:textId="77777777" w:rsidR="009B7EBB" w:rsidRPr="00AB3B2F" w:rsidRDefault="009B7EBB" w:rsidP="004A196D">
      <w:pPr>
        <w:numPr>
          <w:ilvl w:val="0"/>
          <w:numId w:val="40"/>
        </w:numPr>
        <w:rPr>
          <w:sz w:val="28"/>
          <w:szCs w:val="28"/>
        </w:rPr>
      </w:pPr>
      <w:proofErr w:type="gramStart"/>
      <w:r w:rsidRPr="00AB3B2F">
        <w:rPr>
          <w:sz w:val="28"/>
          <w:szCs w:val="28"/>
        </w:rPr>
        <w:t>acides</w:t>
      </w:r>
      <w:proofErr w:type="gramEnd"/>
      <w:r w:rsidRPr="00AB3B2F">
        <w:rPr>
          <w:sz w:val="28"/>
          <w:szCs w:val="28"/>
        </w:rPr>
        <w:t xml:space="preserve"> gras polyinsaturés.</w:t>
      </w:r>
    </w:p>
    <w:p w14:paraId="57A4A186" w14:textId="236202F9" w:rsidR="009B7EBB" w:rsidRPr="00AB3B2F" w:rsidRDefault="009B7EBB" w:rsidP="009B7EBB">
      <w:pPr>
        <w:rPr>
          <w:sz w:val="28"/>
          <w:szCs w:val="28"/>
        </w:rPr>
      </w:pPr>
    </w:p>
    <w:p w14:paraId="61D56FDD" w14:textId="77777777" w:rsidR="009B7EBB" w:rsidRPr="00AB3B2F" w:rsidRDefault="009B7EBB" w:rsidP="00AB3B2F">
      <w:pPr>
        <w:rPr>
          <w:b/>
          <w:bCs/>
          <w:color w:val="4472C4" w:themeColor="accent1"/>
          <w:sz w:val="28"/>
          <w:szCs w:val="28"/>
        </w:rPr>
      </w:pPr>
      <w:r w:rsidRPr="00AB3B2F">
        <w:rPr>
          <w:b/>
          <w:bCs/>
          <w:color w:val="4472C4" w:themeColor="accent1"/>
          <w:sz w:val="28"/>
          <w:szCs w:val="28"/>
        </w:rPr>
        <w:t>Stress oxydatif : facteurs modifiables pour améliorer le pronostic</w:t>
      </w:r>
    </w:p>
    <w:p w14:paraId="5431577D" w14:textId="77777777" w:rsidR="009B7EBB" w:rsidRPr="00AB3B2F" w:rsidRDefault="009B7EBB" w:rsidP="009B7EBB">
      <w:pPr>
        <w:rPr>
          <w:sz w:val="28"/>
          <w:szCs w:val="28"/>
        </w:rPr>
      </w:pPr>
      <w:r w:rsidRPr="00AB3B2F">
        <w:rPr>
          <w:sz w:val="28"/>
          <w:szCs w:val="28"/>
        </w:rPr>
        <w:t>Compte tenu de la complexité de la DRT, une approche multimodale est recommandée.</w:t>
      </w:r>
    </w:p>
    <w:p w14:paraId="03F626F6" w14:textId="77777777" w:rsidR="009B7EBB" w:rsidRPr="00AB3B2F" w:rsidRDefault="009B7EBB" w:rsidP="009B7EBB">
      <w:pPr>
        <w:rPr>
          <w:b/>
          <w:bCs/>
          <w:sz w:val="28"/>
          <w:szCs w:val="28"/>
        </w:rPr>
      </w:pPr>
      <w:r w:rsidRPr="00AB3B2F">
        <w:rPr>
          <w:b/>
          <w:bCs/>
          <w:sz w:val="28"/>
          <w:szCs w:val="28"/>
        </w:rPr>
        <w:t>Approche nutritionnelle</w:t>
      </w:r>
    </w:p>
    <w:p w14:paraId="154168F6" w14:textId="77777777" w:rsidR="009B7EBB" w:rsidRPr="00AB3B2F" w:rsidRDefault="009B7EBB" w:rsidP="009B7EBB">
      <w:pPr>
        <w:rPr>
          <w:sz w:val="28"/>
          <w:szCs w:val="28"/>
        </w:rPr>
      </w:pPr>
      <w:r w:rsidRPr="00AB3B2F">
        <w:rPr>
          <w:sz w:val="28"/>
          <w:szCs w:val="28"/>
        </w:rPr>
        <w:t>L’étude SMILES a montré qu’un régime méditerranéen à potentiel anti-inflammatoire améliore les symptômes dépressifs.</w:t>
      </w:r>
    </w:p>
    <w:p w14:paraId="096464AF" w14:textId="77777777" w:rsidR="009B7EBB" w:rsidRPr="00AB3B2F" w:rsidRDefault="009B7EBB" w:rsidP="009B7EBB">
      <w:pPr>
        <w:rPr>
          <w:sz w:val="28"/>
          <w:szCs w:val="28"/>
        </w:rPr>
      </w:pPr>
      <w:r w:rsidRPr="00AB3B2F">
        <w:rPr>
          <w:sz w:val="28"/>
          <w:szCs w:val="28"/>
        </w:rPr>
        <w:t>Les interventions proposées incluent :</w:t>
      </w:r>
    </w:p>
    <w:p w14:paraId="6B7753B4" w14:textId="77777777" w:rsidR="009B7EBB" w:rsidRPr="00AB3B2F" w:rsidRDefault="009B7EBB" w:rsidP="004A196D">
      <w:pPr>
        <w:numPr>
          <w:ilvl w:val="0"/>
          <w:numId w:val="41"/>
        </w:numPr>
        <w:spacing w:after="0"/>
        <w:rPr>
          <w:sz w:val="28"/>
          <w:szCs w:val="28"/>
        </w:rPr>
      </w:pPr>
      <w:proofErr w:type="gramStart"/>
      <w:r w:rsidRPr="00AB3B2F">
        <w:rPr>
          <w:sz w:val="28"/>
          <w:szCs w:val="28"/>
        </w:rPr>
        <w:t>modification</w:t>
      </w:r>
      <w:proofErr w:type="gramEnd"/>
      <w:r w:rsidRPr="00AB3B2F">
        <w:rPr>
          <w:sz w:val="28"/>
          <w:szCs w:val="28"/>
        </w:rPr>
        <w:t xml:space="preserve"> du régime alimentaire,</w:t>
      </w:r>
    </w:p>
    <w:p w14:paraId="5BD32131" w14:textId="77777777" w:rsidR="009B7EBB" w:rsidRPr="00AB3B2F" w:rsidRDefault="009B7EBB" w:rsidP="004A196D">
      <w:pPr>
        <w:numPr>
          <w:ilvl w:val="0"/>
          <w:numId w:val="41"/>
        </w:numPr>
        <w:spacing w:after="0"/>
        <w:rPr>
          <w:sz w:val="28"/>
          <w:szCs w:val="28"/>
        </w:rPr>
      </w:pPr>
      <w:proofErr w:type="gramStart"/>
      <w:r w:rsidRPr="00AB3B2F">
        <w:rPr>
          <w:sz w:val="28"/>
          <w:szCs w:val="28"/>
        </w:rPr>
        <w:t>supplémentation</w:t>
      </w:r>
      <w:proofErr w:type="gramEnd"/>
      <w:r w:rsidRPr="00AB3B2F">
        <w:rPr>
          <w:sz w:val="28"/>
          <w:szCs w:val="28"/>
        </w:rPr>
        <w:t xml:space="preserve"> </w:t>
      </w:r>
      <w:proofErr w:type="spellStart"/>
      <w:r w:rsidRPr="00AB3B2F">
        <w:rPr>
          <w:sz w:val="28"/>
          <w:szCs w:val="28"/>
        </w:rPr>
        <w:t>micronutritionnelle</w:t>
      </w:r>
      <w:proofErr w:type="spellEnd"/>
      <w:r w:rsidRPr="00AB3B2F">
        <w:rPr>
          <w:sz w:val="28"/>
          <w:szCs w:val="28"/>
        </w:rPr>
        <w:t xml:space="preserve"> ciblée,</w:t>
      </w:r>
    </w:p>
    <w:p w14:paraId="4DAD37EE" w14:textId="77777777" w:rsidR="009B7EBB" w:rsidRPr="00AB3B2F" w:rsidRDefault="009B7EBB" w:rsidP="004A196D">
      <w:pPr>
        <w:numPr>
          <w:ilvl w:val="0"/>
          <w:numId w:val="41"/>
        </w:numPr>
        <w:rPr>
          <w:sz w:val="28"/>
          <w:szCs w:val="28"/>
        </w:rPr>
      </w:pPr>
      <w:proofErr w:type="gramStart"/>
      <w:r w:rsidRPr="00AB3B2F">
        <w:rPr>
          <w:sz w:val="28"/>
          <w:szCs w:val="28"/>
        </w:rPr>
        <w:t>approche</w:t>
      </w:r>
      <w:proofErr w:type="gramEnd"/>
      <w:r w:rsidRPr="00AB3B2F">
        <w:rPr>
          <w:sz w:val="28"/>
          <w:szCs w:val="28"/>
        </w:rPr>
        <w:t xml:space="preserve"> de psychiatrie métabolique.</w:t>
      </w:r>
    </w:p>
    <w:p w14:paraId="09478B38" w14:textId="77777777" w:rsidR="009B7EBB" w:rsidRPr="00AB3B2F" w:rsidRDefault="009B7EBB" w:rsidP="009B7EBB">
      <w:pPr>
        <w:rPr>
          <w:sz w:val="28"/>
          <w:szCs w:val="28"/>
          <w:lang w:val="en-US"/>
        </w:rPr>
      </w:pPr>
      <w:r w:rsidRPr="00AB3B2F">
        <w:rPr>
          <w:sz w:val="28"/>
          <w:szCs w:val="28"/>
          <w:lang w:val="en-US"/>
        </w:rPr>
        <w:t xml:space="preserve">Les </w:t>
      </w:r>
      <w:proofErr w:type="spellStart"/>
      <w:r w:rsidRPr="00AB3B2F">
        <w:rPr>
          <w:sz w:val="28"/>
          <w:szCs w:val="28"/>
          <w:lang w:val="en-US"/>
        </w:rPr>
        <w:t>recommandations</w:t>
      </w:r>
      <w:proofErr w:type="spellEnd"/>
      <w:r w:rsidRPr="00AB3B2F">
        <w:rPr>
          <w:sz w:val="28"/>
          <w:szCs w:val="28"/>
          <w:lang w:val="en-US"/>
        </w:rPr>
        <w:t xml:space="preserve"> de la </w:t>
      </w:r>
      <w:r w:rsidRPr="00AB3B2F">
        <w:rPr>
          <w:b/>
          <w:bCs/>
          <w:sz w:val="28"/>
          <w:szCs w:val="28"/>
          <w:lang w:val="en-US"/>
        </w:rPr>
        <w:t>World Federation of Societies of Biological Psychiatry</w:t>
      </w:r>
      <w:r w:rsidRPr="00AB3B2F">
        <w:rPr>
          <w:sz w:val="28"/>
          <w:szCs w:val="28"/>
          <w:lang w:val="en-US"/>
        </w:rPr>
        <w:t xml:space="preserve"> (WFSBP) et du </w:t>
      </w:r>
      <w:r w:rsidRPr="00AB3B2F">
        <w:rPr>
          <w:b/>
          <w:bCs/>
          <w:sz w:val="28"/>
          <w:szCs w:val="28"/>
          <w:lang w:val="en-US"/>
        </w:rPr>
        <w:t>Canadian Network for Mood and Anxiety Treatments</w:t>
      </w:r>
      <w:r w:rsidRPr="00AB3B2F">
        <w:rPr>
          <w:sz w:val="28"/>
          <w:szCs w:val="28"/>
          <w:lang w:val="en-US"/>
        </w:rPr>
        <w:t xml:space="preserve"> (CANMAT) </w:t>
      </w:r>
      <w:proofErr w:type="spellStart"/>
      <w:r w:rsidRPr="00AB3B2F">
        <w:rPr>
          <w:sz w:val="28"/>
          <w:szCs w:val="28"/>
          <w:lang w:val="en-US"/>
        </w:rPr>
        <w:t>soutiennent</w:t>
      </w:r>
      <w:proofErr w:type="spellEnd"/>
      <w:r w:rsidRPr="00AB3B2F">
        <w:rPr>
          <w:sz w:val="28"/>
          <w:szCs w:val="28"/>
          <w:lang w:val="en-US"/>
        </w:rPr>
        <w:t xml:space="preserve"> </w:t>
      </w:r>
      <w:proofErr w:type="spellStart"/>
      <w:r w:rsidRPr="00AB3B2F">
        <w:rPr>
          <w:sz w:val="28"/>
          <w:szCs w:val="28"/>
          <w:lang w:val="en-US"/>
        </w:rPr>
        <w:t>certaines</w:t>
      </w:r>
      <w:proofErr w:type="spellEnd"/>
      <w:r w:rsidRPr="00AB3B2F">
        <w:rPr>
          <w:sz w:val="28"/>
          <w:szCs w:val="28"/>
          <w:lang w:val="en-US"/>
        </w:rPr>
        <w:t xml:space="preserve"> </w:t>
      </w:r>
      <w:proofErr w:type="spellStart"/>
      <w:r w:rsidRPr="00AB3B2F">
        <w:rPr>
          <w:sz w:val="28"/>
          <w:szCs w:val="28"/>
          <w:lang w:val="en-US"/>
        </w:rPr>
        <w:t>supplémentations</w:t>
      </w:r>
      <w:proofErr w:type="spellEnd"/>
      <w:r w:rsidRPr="00AB3B2F">
        <w:rPr>
          <w:sz w:val="28"/>
          <w:szCs w:val="28"/>
          <w:lang w:val="en-US"/>
        </w:rPr>
        <w:t>.</w:t>
      </w:r>
    </w:p>
    <w:p w14:paraId="18B48A16" w14:textId="77777777" w:rsidR="009B7EBB" w:rsidRPr="00AB3B2F" w:rsidRDefault="009B7EBB" w:rsidP="009B7EBB">
      <w:pPr>
        <w:rPr>
          <w:b/>
          <w:bCs/>
          <w:sz w:val="28"/>
          <w:szCs w:val="28"/>
        </w:rPr>
      </w:pPr>
      <w:r w:rsidRPr="00AB3B2F">
        <w:rPr>
          <w:b/>
          <w:bCs/>
          <w:sz w:val="28"/>
          <w:szCs w:val="28"/>
        </w:rPr>
        <w:t>Limites des biomarqueurs</w:t>
      </w:r>
    </w:p>
    <w:p w14:paraId="61221DF2" w14:textId="77777777" w:rsidR="009B7EBB" w:rsidRPr="00AB3B2F" w:rsidRDefault="009B7EBB" w:rsidP="009B7EBB">
      <w:pPr>
        <w:rPr>
          <w:sz w:val="28"/>
          <w:szCs w:val="28"/>
        </w:rPr>
      </w:pPr>
      <w:r w:rsidRPr="00AB3B2F">
        <w:rPr>
          <w:sz w:val="28"/>
          <w:szCs w:val="28"/>
        </w:rPr>
        <w:t xml:space="preserve">Bien que l’8-OHdG urinaire &gt; 3,9 </w:t>
      </w:r>
      <w:proofErr w:type="spellStart"/>
      <w:r w:rsidRPr="00AB3B2F">
        <w:rPr>
          <w:sz w:val="28"/>
          <w:szCs w:val="28"/>
        </w:rPr>
        <w:t>ng</w:t>
      </w:r>
      <w:proofErr w:type="spellEnd"/>
      <w:r w:rsidRPr="00AB3B2F">
        <w:rPr>
          <w:sz w:val="28"/>
          <w:szCs w:val="28"/>
        </w:rPr>
        <w:t>/mg créatinine suggère un SO élevé, l’absence de seuils standardisés limite l’usage clinique routinier.</w:t>
      </w:r>
    </w:p>
    <w:p w14:paraId="74E3B057" w14:textId="1C5C8383" w:rsidR="009B7EBB" w:rsidRPr="00AB3B2F" w:rsidRDefault="009B7EBB" w:rsidP="009B7EBB">
      <w:pPr>
        <w:rPr>
          <w:sz w:val="28"/>
          <w:szCs w:val="28"/>
        </w:rPr>
      </w:pPr>
    </w:p>
    <w:p w14:paraId="5DF0FB3B" w14:textId="77777777" w:rsidR="009B7EBB" w:rsidRPr="00AB3B2F" w:rsidRDefault="009B7EBB" w:rsidP="00AB3B2F">
      <w:pPr>
        <w:rPr>
          <w:b/>
          <w:bCs/>
          <w:color w:val="4472C4" w:themeColor="accent1"/>
          <w:sz w:val="28"/>
          <w:szCs w:val="28"/>
        </w:rPr>
      </w:pPr>
      <w:r w:rsidRPr="00AB3B2F">
        <w:rPr>
          <w:b/>
          <w:bCs/>
          <w:color w:val="4472C4" w:themeColor="accent1"/>
          <w:sz w:val="28"/>
          <w:szCs w:val="28"/>
        </w:rPr>
        <w:t>Antidépresseurs à action rapide</w:t>
      </w:r>
    </w:p>
    <w:p w14:paraId="00E2E991" w14:textId="77777777" w:rsidR="009B7EBB" w:rsidRPr="00AB3B2F" w:rsidRDefault="009B7EBB" w:rsidP="009B7EBB">
      <w:pPr>
        <w:rPr>
          <w:b/>
          <w:bCs/>
          <w:sz w:val="28"/>
          <w:szCs w:val="28"/>
        </w:rPr>
      </w:pPr>
      <w:r w:rsidRPr="00AB3B2F">
        <w:rPr>
          <w:b/>
          <w:bCs/>
          <w:sz w:val="28"/>
          <w:szCs w:val="28"/>
        </w:rPr>
        <w:t>Kétamine</w:t>
      </w:r>
    </w:p>
    <w:p w14:paraId="1C271F11" w14:textId="77777777" w:rsidR="009B7EBB" w:rsidRPr="00AB3B2F" w:rsidRDefault="009B7EBB" w:rsidP="009B7EBB">
      <w:pPr>
        <w:rPr>
          <w:sz w:val="28"/>
          <w:szCs w:val="28"/>
        </w:rPr>
      </w:pPr>
      <w:r w:rsidRPr="00AB3B2F">
        <w:rPr>
          <w:sz w:val="28"/>
          <w:szCs w:val="28"/>
        </w:rPr>
        <w:lastRenderedPageBreak/>
        <w:t>La kétamine, mélange racémique de (R)- et (S)-kétamine, possède un effet antidépresseur rapide dans la DRT.</w:t>
      </w:r>
    </w:p>
    <w:p w14:paraId="23DF9C48" w14:textId="77777777" w:rsidR="009B7EBB" w:rsidRPr="00AB3B2F" w:rsidRDefault="009B7EBB" w:rsidP="009B7EBB">
      <w:pPr>
        <w:rPr>
          <w:b/>
          <w:bCs/>
          <w:sz w:val="28"/>
          <w:szCs w:val="28"/>
        </w:rPr>
      </w:pPr>
      <w:r w:rsidRPr="00AB3B2F">
        <w:rPr>
          <w:b/>
          <w:bCs/>
          <w:sz w:val="28"/>
          <w:szCs w:val="28"/>
        </w:rPr>
        <w:t>Mécanisme principal</w:t>
      </w:r>
    </w:p>
    <w:p w14:paraId="547B319C" w14:textId="77777777" w:rsidR="009B7EBB" w:rsidRPr="00AB3B2F" w:rsidRDefault="009B7EBB" w:rsidP="009B7EBB">
      <w:pPr>
        <w:numPr>
          <w:ilvl w:val="0"/>
          <w:numId w:val="18"/>
        </w:numPr>
        <w:rPr>
          <w:sz w:val="28"/>
          <w:szCs w:val="28"/>
        </w:rPr>
      </w:pPr>
      <w:proofErr w:type="gramStart"/>
      <w:r w:rsidRPr="00AB3B2F">
        <w:rPr>
          <w:sz w:val="28"/>
          <w:szCs w:val="28"/>
        </w:rPr>
        <w:t>antagonisme</w:t>
      </w:r>
      <w:proofErr w:type="gramEnd"/>
      <w:r w:rsidRPr="00AB3B2F">
        <w:rPr>
          <w:sz w:val="28"/>
          <w:szCs w:val="28"/>
        </w:rPr>
        <w:t xml:space="preserve"> non compétitif des récepteurs NMDA sur interneurones </w:t>
      </w:r>
      <w:proofErr w:type="spellStart"/>
      <w:r w:rsidRPr="00AB3B2F">
        <w:rPr>
          <w:sz w:val="28"/>
          <w:szCs w:val="28"/>
        </w:rPr>
        <w:t>GABAergiques</w:t>
      </w:r>
      <w:proofErr w:type="spellEnd"/>
      <w:r w:rsidRPr="00AB3B2F">
        <w:rPr>
          <w:sz w:val="28"/>
          <w:szCs w:val="28"/>
        </w:rPr>
        <w:t>,</w:t>
      </w:r>
    </w:p>
    <w:p w14:paraId="152B1FC1" w14:textId="77777777" w:rsidR="009B7EBB" w:rsidRPr="00AB3B2F" w:rsidRDefault="009B7EBB" w:rsidP="009B7EBB">
      <w:pPr>
        <w:numPr>
          <w:ilvl w:val="0"/>
          <w:numId w:val="18"/>
        </w:numPr>
        <w:rPr>
          <w:sz w:val="28"/>
          <w:szCs w:val="28"/>
        </w:rPr>
      </w:pPr>
      <w:proofErr w:type="gramStart"/>
      <w:r w:rsidRPr="00AB3B2F">
        <w:rPr>
          <w:sz w:val="28"/>
          <w:szCs w:val="28"/>
        </w:rPr>
        <w:t>modulation</w:t>
      </w:r>
      <w:proofErr w:type="gramEnd"/>
      <w:r w:rsidRPr="00AB3B2F">
        <w:rPr>
          <w:sz w:val="28"/>
          <w:szCs w:val="28"/>
        </w:rPr>
        <w:t xml:space="preserve"> glutamatergique.</w:t>
      </w:r>
    </w:p>
    <w:p w14:paraId="326DE477" w14:textId="77777777" w:rsidR="009B7EBB" w:rsidRPr="00AB3B2F" w:rsidRDefault="009B7EBB" w:rsidP="009B7EBB">
      <w:pPr>
        <w:rPr>
          <w:sz w:val="28"/>
          <w:szCs w:val="28"/>
        </w:rPr>
      </w:pPr>
      <w:r w:rsidRPr="00AB3B2F">
        <w:rPr>
          <w:sz w:val="28"/>
          <w:szCs w:val="28"/>
        </w:rPr>
        <w:t>L’effet clinique peut apparaître dans les 2 heures après administration IV.</w:t>
      </w:r>
    </w:p>
    <w:p w14:paraId="3CE2694B" w14:textId="77777777" w:rsidR="009B7EBB" w:rsidRPr="00AB3B2F" w:rsidRDefault="009B7EBB" w:rsidP="009B7EBB">
      <w:pPr>
        <w:rPr>
          <w:b/>
          <w:bCs/>
          <w:sz w:val="28"/>
          <w:szCs w:val="28"/>
        </w:rPr>
      </w:pPr>
      <w:r w:rsidRPr="00AB3B2F">
        <w:rPr>
          <w:b/>
          <w:bCs/>
          <w:sz w:val="28"/>
          <w:szCs w:val="28"/>
        </w:rPr>
        <w:t>Effets antioxydants</w:t>
      </w:r>
    </w:p>
    <w:p w14:paraId="54EE47B3" w14:textId="77777777" w:rsidR="009B7EBB" w:rsidRPr="00AB3B2F" w:rsidRDefault="009B7EBB" w:rsidP="009B7EBB">
      <w:pPr>
        <w:rPr>
          <w:sz w:val="28"/>
          <w:szCs w:val="28"/>
        </w:rPr>
      </w:pPr>
      <w:r w:rsidRPr="00AB3B2F">
        <w:rPr>
          <w:sz w:val="28"/>
          <w:szCs w:val="28"/>
        </w:rPr>
        <w:t>Chez l’animal stressé, la kétamine :</w:t>
      </w:r>
    </w:p>
    <w:p w14:paraId="5441759E" w14:textId="77777777" w:rsidR="009B7EBB" w:rsidRPr="00AB3B2F" w:rsidRDefault="009B7EBB" w:rsidP="009B7EBB">
      <w:pPr>
        <w:numPr>
          <w:ilvl w:val="0"/>
          <w:numId w:val="19"/>
        </w:numPr>
        <w:rPr>
          <w:sz w:val="28"/>
          <w:szCs w:val="28"/>
        </w:rPr>
      </w:pPr>
      <w:proofErr w:type="gramStart"/>
      <w:r w:rsidRPr="00AB3B2F">
        <w:rPr>
          <w:sz w:val="28"/>
          <w:szCs w:val="28"/>
        </w:rPr>
        <w:t>diminue</w:t>
      </w:r>
      <w:proofErr w:type="gramEnd"/>
      <w:r w:rsidRPr="00AB3B2F">
        <w:rPr>
          <w:sz w:val="28"/>
          <w:szCs w:val="28"/>
        </w:rPr>
        <w:t xml:space="preserve"> O₂•⁻, TOS, AOPP et MDA,</w:t>
      </w:r>
    </w:p>
    <w:p w14:paraId="6E4A1533" w14:textId="77777777" w:rsidR="009B7EBB" w:rsidRPr="00AB3B2F" w:rsidRDefault="009B7EBB" w:rsidP="009B7EBB">
      <w:pPr>
        <w:numPr>
          <w:ilvl w:val="0"/>
          <w:numId w:val="19"/>
        </w:numPr>
        <w:rPr>
          <w:sz w:val="28"/>
          <w:szCs w:val="28"/>
        </w:rPr>
      </w:pPr>
      <w:proofErr w:type="gramStart"/>
      <w:r w:rsidRPr="00AB3B2F">
        <w:rPr>
          <w:sz w:val="28"/>
          <w:szCs w:val="28"/>
        </w:rPr>
        <w:t>augmente</w:t>
      </w:r>
      <w:proofErr w:type="gramEnd"/>
      <w:r w:rsidRPr="00AB3B2F">
        <w:rPr>
          <w:sz w:val="28"/>
          <w:szCs w:val="28"/>
        </w:rPr>
        <w:t xml:space="preserve"> SOD et paraoxonase-1.</w:t>
      </w:r>
    </w:p>
    <w:p w14:paraId="2B1C2776" w14:textId="77777777" w:rsidR="009B7EBB" w:rsidRPr="00AB3B2F" w:rsidRDefault="009B7EBB" w:rsidP="009B7EBB">
      <w:pPr>
        <w:rPr>
          <w:sz w:val="28"/>
          <w:szCs w:val="28"/>
        </w:rPr>
      </w:pPr>
      <w:r w:rsidRPr="00AB3B2F">
        <w:rPr>
          <w:sz w:val="28"/>
          <w:szCs w:val="28"/>
        </w:rPr>
        <w:t>Cependant, en conditions non stressantes ou à fortes doses, des effets pro-oxydants et neurotoxiques ont été observés, suggérant une dépendance au contexte physiopathologique et à la dose.</w:t>
      </w:r>
    </w:p>
    <w:p w14:paraId="72229CED" w14:textId="77777777" w:rsidR="009B7EBB" w:rsidRPr="00AB3B2F" w:rsidRDefault="009B7EBB" w:rsidP="009B7EBB">
      <w:pPr>
        <w:rPr>
          <w:b/>
          <w:bCs/>
          <w:sz w:val="28"/>
          <w:szCs w:val="28"/>
        </w:rPr>
      </w:pPr>
      <w:r w:rsidRPr="00AB3B2F">
        <w:rPr>
          <w:b/>
          <w:bCs/>
          <w:sz w:val="28"/>
          <w:szCs w:val="28"/>
        </w:rPr>
        <w:t>Effets neuroprotecteurs</w:t>
      </w:r>
    </w:p>
    <w:p w14:paraId="34EB1FBE" w14:textId="77777777" w:rsidR="009B7EBB" w:rsidRPr="00AB3B2F" w:rsidRDefault="009B7EBB" w:rsidP="009B7EBB">
      <w:pPr>
        <w:rPr>
          <w:sz w:val="28"/>
          <w:szCs w:val="28"/>
        </w:rPr>
      </w:pPr>
      <w:r w:rsidRPr="00AB3B2F">
        <w:rPr>
          <w:sz w:val="28"/>
          <w:szCs w:val="28"/>
        </w:rPr>
        <w:t>Les études in vitro montrent :</w:t>
      </w:r>
    </w:p>
    <w:p w14:paraId="3B2D8860" w14:textId="77777777" w:rsidR="009B7EBB" w:rsidRPr="00AB3B2F" w:rsidRDefault="009B7EBB" w:rsidP="004A196D">
      <w:pPr>
        <w:numPr>
          <w:ilvl w:val="0"/>
          <w:numId w:val="42"/>
        </w:numPr>
        <w:spacing w:after="0"/>
        <w:rPr>
          <w:sz w:val="28"/>
          <w:szCs w:val="28"/>
        </w:rPr>
      </w:pPr>
      <w:proofErr w:type="gramStart"/>
      <w:r w:rsidRPr="00AB3B2F">
        <w:rPr>
          <w:sz w:val="28"/>
          <w:szCs w:val="28"/>
        </w:rPr>
        <w:t>amélioration</w:t>
      </w:r>
      <w:proofErr w:type="gramEnd"/>
      <w:r w:rsidRPr="00AB3B2F">
        <w:rPr>
          <w:sz w:val="28"/>
          <w:szCs w:val="28"/>
        </w:rPr>
        <w:t xml:space="preserve"> de la fonction mitochondriale,</w:t>
      </w:r>
    </w:p>
    <w:p w14:paraId="5CD5A83C" w14:textId="77777777" w:rsidR="009B7EBB" w:rsidRPr="00AB3B2F" w:rsidRDefault="009B7EBB" w:rsidP="004A196D">
      <w:pPr>
        <w:numPr>
          <w:ilvl w:val="0"/>
          <w:numId w:val="42"/>
        </w:numPr>
        <w:spacing w:after="0"/>
        <w:rPr>
          <w:sz w:val="28"/>
          <w:szCs w:val="28"/>
        </w:rPr>
      </w:pPr>
      <w:proofErr w:type="gramStart"/>
      <w:r w:rsidRPr="00AB3B2F">
        <w:rPr>
          <w:sz w:val="28"/>
          <w:szCs w:val="28"/>
        </w:rPr>
        <w:t>augmentation</w:t>
      </w:r>
      <w:proofErr w:type="gramEnd"/>
      <w:r w:rsidRPr="00AB3B2F">
        <w:rPr>
          <w:sz w:val="28"/>
          <w:szCs w:val="28"/>
        </w:rPr>
        <w:t xml:space="preserve"> du rapport antioxydants/oxydants,</w:t>
      </w:r>
    </w:p>
    <w:p w14:paraId="0BA3EC14" w14:textId="77777777" w:rsidR="009B7EBB" w:rsidRPr="00AB3B2F" w:rsidRDefault="009B7EBB" w:rsidP="004A196D">
      <w:pPr>
        <w:numPr>
          <w:ilvl w:val="0"/>
          <w:numId w:val="42"/>
        </w:numPr>
        <w:spacing w:after="0"/>
        <w:rPr>
          <w:sz w:val="28"/>
          <w:szCs w:val="28"/>
        </w:rPr>
      </w:pPr>
      <w:proofErr w:type="gramStart"/>
      <w:r w:rsidRPr="00AB3B2F">
        <w:rPr>
          <w:sz w:val="28"/>
          <w:szCs w:val="28"/>
        </w:rPr>
        <w:t>inhibition</w:t>
      </w:r>
      <w:proofErr w:type="gramEnd"/>
      <w:r w:rsidRPr="00AB3B2F">
        <w:rPr>
          <w:sz w:val="28"/>
          <w:szCs w:val="28"/>
        </w:rPr>
        <w:t xml:space="preserve"> de la </w:t>
      </w:r>
      <w:proofErr w:type="spellStart"/>
      <w:r w:rsidRPr="00AB3B2F">
        <w:rPr>
          <w:sz w:val="28"/>
          <w:szCs w:val="28"/>
        </w:rPr>
        <w:t>ferroptose</w:t>
      </w:r>
      <w:proofErr w:type="spellEnd"/>
      <w:r w:rsidRPr="00AB3B2F">
        <w:rPr>
          <w:sz w:val="28"/>
          <w:szCs w:val="28"/>
        </w:rPr>
        <w:t>,</w:t>
      </w:r>
    </w:p>
    <w:p w14:paraId="2AA46C6C" w14:textId="77777777" w:rsidR="009B7EBB" w:rsidRPr="00AB3B2F" w:rsidRDefault="009B7EBB" w:rsidP="004A196D">
      <w:pPr>
        <w:numPr>
          <w:ilvl w:val="0"/>
          <w:numId w:val="42"/>
        </w:numPr>
        <w:spacing w:after="0"/>
        <w:rPr>
          <w:sz w:val="28"/>
          <w:szCs w:val="28"/>
        </w:rPr>
      </w:pPr>
      <w:proofErr w:type="gramStart"/>
      <w:r w:rsidRPr="00AB3B2F">
        <w:rPr>
          <w:sz w:val="28"/>
          <w:szCs w:val="28"/>
        </w:rPr>
        <w:t>activation</w:t>
      </w:r>
      <w:proofErr w:type="gramEnd"/>
      <w:r w:rsidRPr="00AB3B2F">
        <w:rPr>
          <w:sz w:val="28"/>
          <w:szCs w:val="28"/>
        </w:rPr>
        <w:t xml:space="preserve"> de la voie Nrf2.</w:t>
      </w:r>
    </w:p>
    <w:p w14:paraId="00E024B5" w14:textId="0F071DB0" w:rsidR="009B7EBB" w:rsidRPr="00AB3B2F" w:rsidRDefault="009B7EBB" w:rsidP="009B7EBB">
      <w:pPr>
        <w:rPr>
          <w:sz w:val="28"/>
          <w:szCs w:val="28"/>
        </w:rPr>
      </w:pPr>
    </w:p>
    <w:p w14:paraId="31ECF372" w14:textId="77777777" w:rsidR="009B7EBB" w:rsidRPr="00AB3B2F" w:rsidRDefault="009B7EBB" w:rsidP="00AB3B2F">
      <w:pPr>
        <w:rPr>
          <w:b/>
          <w:bCs/>
          <w:color w:val="4472C4" w:themeColor="accent1"/>
          <w:sz w:val="28"/>
          <w:szCs w:val="28"/>
        </w:rPr>
      </w:pPr>
      <w:r w:rsidRPr="00AB3B2F">
        <w:rPr>
          <w:b/>
          <w:bCs/>
          <w:color w:val="4472C4" w:themeColor="accent1"/>
          <w:sz w:val="28"/>
          <w:szCs w:val="28"/>
        </w:rPr>
        <w:t xml:space="preserve">Approche </w:t>
      </w:r>
      <w:proofErr w:type="spellStart"/>
      <w:r w:rsidRPr="00AB3B2F">
        <w:rPr>
          <w:b/>
          <w:bCs/>
          <w:color w:val="4472C4" w:themeColor="accent1"/>
          <w:sz w:val="28"/>
          <w:szCs w:val="28"/>
        </w:rPr>
        <w:t>nutraceutique</w:t>
      </w:r>
      <w:proofErr w:type="spellEnd"/>
      <w:r w:rsidRPr="00AB3B2F">
        <w:rPr>
          <w:b/>
          <w:bCs/>
          <w:color w:val="4472C4" w:themeColor="accent1"/>
          <w:sz w:val="28"/>
          <w:szCs w:val="28"/>
        </w:rPr>
        <w:t xml:space="preserve"> dans la DRT</w:t>
      </w:r>
    </w:p>
    <w:p w14:paraId="6A441F06" w14:textId="77777777" w:rsidR="009B7EBB" w:rsidRPr="00AB3B2F" w:rsidRDefault="009B7EBB" w:rsidP="009B7EBB">
      <w:pPr>
        <w:rPr>
          <w:sz w:val="28"/>
          <w:szCs w:val="28"/>
        </w:rPr>
      </w:pPr>
      <w:r w:rsidRPr="00AB3B2F">
        <w:rPr>
          <w:sz w:val="28"/>
          <w:szCs w:val="28"/>
        </w:rPr>
        <w:t>Plusieurs composés à activité antioxydante sont discutés comme adjuvants.</w:t>
      </w:r>
    </w:p>
    <w:p w14:paraId="526720E0" w14:textId="77777777" w:rsidR="009B7EBB" w:rsidRPr="00AB3B2F" w:rsidRDefault="009B7EBB" w:rsidP="009B7EBB">
      <w:pPr>
        <w:rPr>
          <w:b/>
          <w:bCs/>
          <w:sz w:val="28"/>
          <w:szCs w:val="28"/>
        </w:rPr>
      </w:pPr>
      <w:r w:rsidRPr="00AB3B2F">
        <w:rPr>
          <w:b/>
          <w:bCs/>
          <w:sz w:val="28"/>
          <w:szCs w:val="28"/>
        </w:rPr>
        <w:t>Curcumine</w:t>
      </w:r>
    </w:p>
    <w:p w14:paraId="596524EA" w14:textId="77777777" w:rsidR="009B7EBB" w:rsidRPr="00AB3B2F" w:rsidRDefault="009B7EBB" w:rsidP="009B7EBB">
      <w:pPr>
        <w:rPr>
          <w:sz w:val="28"/>
          <w:szCs w:val="28"/>
        </w:rPr>
      </w:pPr>
      <w:r w:rsidRPr="00AB3B2F">
        <w:rPr>
          <w:sz w:val="28"/>
          <w:szCs w:val="28"/>
        </w:rPr>
        <w:t xml:space="preserve">Polyphénol de </w:t>
      </w:r>
      <w:r w:rsidRPr="00AB3B2F">
        <w:rPr>
          <w:i/>
          <w:iCs/>
          <w:sz w:val="28"/>
          <w:szCs w:val="28"/>
        </w:rPr>
        <w:t xml:space="preserve">Curcuma </w:t>
      </w:r>
      <w:proofErr w:type="spellStart"/>
      <w:r w:rsidRPr="00AB3B2F">
        <w:rPr>
          <w:i/>
          <w:iCs/>
          <w:sz w:val="28"/>
          <w:szCs w:val="28"/>
        </w:rPr>
        <w:t>longa</w:t>
      </w:r>
      <w:proofErr w:type="spellEnd"/>
      <w:r w:rsidRPr="00AB3B2F">
        <w:rPr>
          <w:sz w:val="28"/>
          <w:szCs w:val="28"/>
        </w:rPr>
        <w:t xml:space="preserve"> :</w:t>
      </w:r>
    </w:p>
    <w:p w14:paraId="1846024C" w14:textId="77777777" w:rsidR="009B7EBB" w:rsidRPr="00AB3B2F" w:rsidRDefault="009B7EBB" w:rsidP="004A196D">
      <w:pPr>
        <w:numPr>
          <w:ilvl w:val="0"/>
          <w:numId w:val="43"/>
        </w:numPr>
        <w:rPr>
          <w:sz w:val="28"/>
          <w:szCs w:val="28"/>
        </w:rPr>
      </w:pPr>
      <w:proofErr w:type="gramStart"/>
      <w:r w:rsidRPr="00AB3B2F">
        <w:rPr>
          <w:sz w:val="28"/>
          <w:szCs w:val="28"/>
        </w:rPr>
        <w:t>inhibe</w:t>
      </w:r>
      <w:proofErr w:type="gramEnd"/>
      <w:r w:rsidRPr="00AB3B2F">
        <w:rPr>
          <w:sz w:val="28"/>
          <w:szCs w:val="28"/>
        </w:rPr>
        <w:t xml:space="preserve"> SO, inflammation et apoptose,</w:t>
      </w:r>
    </w:p>
    <w:p w14:paraId="50D2D68E" w14:textId="77777777" w:rsidR="009B7EBB" w:rsidRPr="00AB3B2F" w:rsidRDefault="009B7EBB" w:rsidP="004A196D">
      <w:pPr>
        <w:numPr>
          <w:ilvl w:val="0"/>
          <w:numId w:val="43"/>
        </w:numPr>
        <w:rPr>
          <w:sz w:val="28"/>
          <w:szCs w:val="28"/>
        </w:rPr>
      </w:pPr>
      <w:proofErr w:type="gramStart"/>
      <w:r w:rsidRPr="00AB3B2F">
        <w:rPr>
          <w:sz w:val="28"/>
          <w:szCs w:val="28"/>
        </w:rPr>
        <w:t>active</w:t>
      </w:r>
      <w:proofErr w:type="gramEnd"/>
      <w:r w:rsidRPr="00AB3B2F">
        <w:rPr>
          <w:sz w:val="28"/>
          <w:szCs w:val="28"/>
        </w:rPr>
        <w:t xml:space="preserve"> la voie Nrf2,</w:t>
      </w:r>
    </w:p>
    <w:p w14:paraId="437DE139" w14:textId="77777777" w:rsidR="009B7EBB" w:rsidRPr="00AB3B2F" w:rsidRDefault="009B7EBB" w:rsidP="004A196D">
      <w:pPr>
        <w:numPr>
          <w:ilvl w:val="0"/>
          <w:numId w:val="43"/>
        </w:numPr>
        <w:rPr>
          <w:sz w:val="28"/>
          <w:szCs w:val="28"/>
        </w:rPr>
      </w:pPr>
      <w:proofErr w:type="gramStart"/>
      <w:r w:rsidRPr="00AB3B2F">
        <w:rPr>
          <w:sz w:val="28"/>
          <w:szCs w:val="28"/>
        </w:rPr>
        <w:t>efficacité</w:t>
      </w:r>
      <w:proofErr w:type="gramEnd"/>
      <w:r w:rsidRPr="00AB3B2F">
        <w:rPr>
          <w:sz w:val="28"/>
          <w:szCs w:val="28"/>
        </w:rPr>
        <w:t xml:space="preserve"> antidépressive suggérée par méta-analyses.</w:t>
      </w:r>
    </w:p>
    <w:p w14:paraId="4F36272A" w14:textId="77777777" w:rsidR="009B7EBB" w:rsidRPr="00AB3B2F" w:rsidRDefault="009B7EBB" w:rsidP="009B7EBB">
      <w:pPr>
        <w:rPr>
          <w:b/>
          <w:bCs/>
          <w:sz w:val="28"/>
          <w:szCs w:val="28"/>
        </w:rPr>
      </w:pPr>
      <w:r w:rsidRPr="00AB3B2F">
        <w:rPr>
          <w:b/>
          <w:bCs/>
          <w:sz w:val="28"/>
          <w:szCs w:val="28"/>
        </w:rPr>
        <w:t>Safran (</w:t>
      </w:r>
      <w:r w:rsidRPr="00AB3B2F">
        <w:rPr>
          <w:b/>
          <w:bCs/>
          <w:i/>
          <w:iCs/>
          <w:sz w:val="28"/>
          <w:szCs w:val="28"/>
        </w:rPr>
        <w:t xml:space="preserve">Crocus </w:t>
      </w:r>
      <w:proofErr w:type="spellStart"/>
      <w:r w:rsidRPr="00AB3B2F">
        <w:rPr>
          <w:b/>
          <w:bCs/>
          <w:i/>
          <w:iCs/>
          <w:sz w:val="28"/>
          <w:szCs w:val="28"/>
        </w:rPr>
        <w:t>sativus</w:t>
      </w:r>
      <w:proofErr w:type="spellEnd"/>
      <w:r w:rsidRPr="00AB3B2F">
        <w:rPr>
          <w:b/>
          <w:bCs/>
          <w:sz w:val="28"/>
          <w:szCs w:val="28"/>
        </w:rPr>
        <w:t>)</w:t>
      </w:r>
    </w:p>
    <w:p w14:paraId="6B895FD4" w14:textId="77777777" w:rsidR="009B7EBB" w:rsidRPr="00AB3B2F" w:rsidRDefault="009B7EBB" w:rsidP="004A196D">
      <w:pPr>
        <w:numPr>
          <w:ilvl w:val="0"/>
          <w:numId w:val="44"/>
        </w:numPr>
        <w:rPr>
          <w:sz w:val="28"/>
          <w:szCs w:val="28"/>
        </w:rPr>
      </w:pPr>
      <w:proofErr w:type="gramStart"/>
      <w:r w:rsidRPr="00AB3B2F">
        <w:rPr>
          <w:sz w:val="28"/>
          <w:szCs w:val="28"/>
        </w:rPr>
        <w:t>réduit</w:t>
      </w:r>
      <w:proofErr w:type="gramEnd"/>
      <w:r w:rsidRPr="00AB3B2F">
        <w:rPr>
          <w:sz w:val="28"/>
          <w:szCs w:val="28"/>
        </w:rPr>
        <w:t xml:space="preserve"> le SO induit par H₂O₂,</w:t>
      </w:r>
    </w:p>
    <w:p w14:paraId="102E4599" w14:textId="77777777" w:rsidR="009B7EBB" w:rsidRPr="00AB3B2F" w:rsidRDefault="009B7EBB" w:rsidP="004A196D">
      <w:pPr>
        <w:numPr>
          <w:ilvl w:val="0"/>
          <w:numId w:val="44"/>
        </w:numPr>
        <w:rPr>
          <w:sz w:val="28"/>
          <w:szCs w:val="28"/>
        </w:rPr>
      </w:pPr>
      <w:proofErr w:type="gramStart"/>
      <w:r w:rsidRPr="00AB3B2F">
        <w:rPr>
          <w:sz w:val="28"/>
          <w:szCs w:val="28"/>
        </w:rPr>
        <w:lastRenderedPageBreak/>
        <w:t>efficacité</w:t>
      </w:r>
      <w:proofErr w:type="gramEnd"/>
      <w:r w:rsidRPr="00AB3B2F">
        <w:rPr>
          <w:sz w:val="28"/>
          <w:szCs w:val="28"/>
        </w:rPr>
        <w:t xml:space="preserve"> potentiellement comparable aux antidépresseurs standards (preuves encore limitées).</w:t>
      </w:r>
    </w:p>
    <w:p w14:paraId="5A30C28A" w14:textId="77777777" w:rsidR="009B7EBB" w:rsidRPr="00AB3B2F" w:rsidRDefault="009B7EBB" w:rsidP="009B7EBB">
      <w:pPr>
        <w:rPr>
          <w:b/>
          <w:bCs/>
          <w:sz w:val="28"/>
          <w:szCs w:val="28"/>
        </w:rPr>
      </w:pPr>
      <w:r w:rsidRPr="00AB3B2F">
        <w:rPr>
          <w:b/>
          <w:bCs/>
          <w:sz w:val="28"/>
          <w:szCs w:val="28"/>
        </w:rPr>
        <w:t>Oméga-3 (EPA)</w:t>
      </w:r>
    </w:p>
    <w:p w14:paraId="1BA41EAC" w14:textId="77777777" w:rsidR="009B7EBB" w:rsidRPr="00AB3B2F" w:rsidRDefault="009B7EBB" w:rsidP="004A196D">
      <w:pPr>
        <w:pStyle w:val="Paragraphedeliste"/>
        <w:numPr>
          <w:ilvl w:val="0"/>
          <w:numId w:val="45"/>
        </w:numPr>
        <w:rPr>
          <w:sz w:val="28"/>
          <w:szCs w:val="28"/>
        </w:rPr>
      </w:pPr>
      <w:proofErr w:type="gramStart"/>
      <w:r w:rsidRPr="00AB3B2F">
        <w:rPr>
          <w:sz w:val="28"/>
          <w:szCs w:val="28"/>
        </w:rPr>
        <w:t>propriétés</w:t>
      </w:r>
      <w:proofErr w:type="gramEnd"/>
      <w:r w:rsidRPr="00AB3B2F">
        <w:rPr>
          <w:sz w:val="28"/>
          <w:szCs w:val="28"/>
        </w:rPr>
        <w:t xml:space="preserve"> anti-inflammatoires,</w:t>
      </w:r>
    </w:p>
    <w:p w14:paraId="02396D9A" w14:textId="77777777" w:rsidR="009B7EBB" w:rsidRPr="00AB3B2F" w:rsidRDefault="009B7EBB" w:rsidP="004A196D">
      <w:pPr>
        <w:pStyle w:val="Paragraphedeliste"/>
        <w:numPr>
          <w:ilvl w:val="0"/>
          <w:numId w:val="45"/>
        </w:numPr>
        <w:rPr>
          <w:sz w:val="28"/>
          <w:szCs w:val="28"/>
        </w:rPr>
      </w:pPr>
      <w:proofErr w:type="gramStart"/>
      <w:r w:rsidRPr="00AB3B2F">
        <w:rPr>
          <w:sz w:val="28"/>
          <w:szCs w:val="28"/>
        </w:rPr>
        <w:t>réduction</w:t>
      </w:r>
      <w:proofErr w:type="gramEnd"/>
      <w:r w:rsidRPr="00AB3B2F">
        <w:rPr>
          <w:sz w:val="28"/>
          <w:szCs w:val="28"/>
        </w:rPr>
        <w:t xml:space="preserve"> de la peroxydation lipidique,</w:t>
      </w:r>
    </w:p>
    <w:p w14:paraId="702E5A80" w14:textId="77777777" w:rsidR="009B7EBB" w:rsidRPr="00AB3B2F" w:rsidRDefault="009B7EBB" w:rsidP="004A196D">
      <w:pPr>
        <w:pStyle w:val="Paragraphedeliste"/>
        <w:numPr>
          <w:ilvl w:val="0"/>
          <w:numId w:val="45"/>
        </w:numPr>
        <w:rPr>
          <w:sz w:val="28"/>
          <w:szCs w:val="28"/>
        </w:rPr>
      </w:pPr>
      <w:proofErr w:type="gramStart"/>
      <w:r w:rsidRPr="00AB3B2F">
        <w:rPr>
          <w:sz w:val="28"/>
          <w:szCs w:val="28"/>
        </w:rPr>
        <w:t>amélioration</w:t>
      </w:r>
      <w:proofErr w:type="gramEnd"/>
      <w:r w:rsidRPr="00AB3B2F">
        <w:rPr>
          <w:sz w:val="28"/>
          <w:szCs w:val="28"/>
        </w:rPr>
        <w:t xml:space="preserve"> de la capacité antioxydante membranaire.</w:t>
      </w:r>
    </w:p>
    <w:p w14:paraId="3D52CB20" w14:textId="77777777" w:rsidR="009B7EBB" w:rsidRPr="00AB3B2F" w:rsidRDefault="009B7EBB" w:rsidP="009B7EBB">
      <w:pPr>
        <w:rPr>
          <w:b/>
          <w:bCs/>
          <w:sz w:val="28"/>
          <w:szCs w:val="28"/>
        </w:rPr>
      </w:pPr>
      <w:r w:rsidRPr="00AB3B2F">
        <w:rPr>
          <w:b/>
          <w:bCs/>
          <w:sz w:val="28"/>
          <w:szCs w:val="28"/>
        </w:rPr>
        <w:t>N-acétylcystéine (NAC)</w:t>
      </w:r>
    </w:p>
    <w:p w14:paraId="2C476750" w14:textId="77777777" w:rsidR="009B7EBB" w:rsidRPr="00AB3B2F" w:rsidRDefault="009B7EBB" w:rsidP="009B7EBB">
      <w:pPr>
        <w:rPr>
          <w:sz w:val="28"/>
          <w:szCs w:val="28"/>
        </w:rPr>
      </w:pPr>
      <w:r w:rsidRPr="00AB3B2F">
        <w:rPr>
          <w:sz w:val="28"/>
          <w:szCs w:val="28"/>
        </w:rPr>
        <w:t>Précurseur du glutathion :</w:t>
      </w:r>
    </w:p>
    <w:p w14:paraId="4A5335FD" w14:textId="77777777" w:rsidR="009B7EBB" w:rsidRPr="00AB3B2F" w:rsidRDefault="009B7EBB" w:rsidP="004A196D">
      <w:pPr>
        <w:pStyle w:val="Paragraphedeliste"/>
        <w:numPr>
          <w:ilvl w:val="0"/>
          <w:numId w:val="46"/>
        </w:numPr>
        <w:rPr>
          <w:sz w:val="28"/>
          <w:szCs w:val="28"/>
        </w:rPr>
      </w:pPr>
      <w:proofErr w:type="gramStart"/>
      <w:r w:rsidRPr="00AB3B2F">
        <w:rPr>
          <w:sz w:val="28"/>
          <w:szCs w:val="28"/>
        </w:rPr>
        <w:t>modulation</w:t>
      </w:r>
      <w:proofErr w:type="gramEnd"/>
      <w:r w:rsidRPr="00AB3B2F">
        <w:rPr>
          <w:sz w:val="28"/>
          <w:szCs w:val="28"/>
        </w:rPr>
        <w:t xml:space="preserve"> de la neuro-inflammation,</w:t>
      </w:r>
    </w:p>
    <w:p w14:paraId="754B0126" w14:textId="77777777" w:rsidR="009B7EBB" w:rsidRPr="00AB3B2F" w:rsidRDefault="009B7EBB" w:rsidP="004A196D">
      <w:pPr>
        <w:pStyle w:val="Paragraphedeliste"/>
        <w:numPr>
          <w:ilvl w:val="0"/>
          <w:numId w:val="46"/>
        </w:numPr>
        <w:rPr>
          <w:sz w:val="28"/>
          <w:szCs w:val="28"/>
        </w:rPr>
      </w:pPr>
      <w:proofErr w:type="gramStart"/>
      <w:r w:rsidRPr="00AB3B2F">
        <w:rPr>
          <w:sz w:val="28"/>
          <w:szCs w:val="28"/>
        </w:rPr>
        <w:t>régulation</w:t>
      </w:r>
      <w:proofErr w:type="gramEnd"/>
      <w:r w:rsidRPr="00AB3B2F">
        <w:rPr>
          <w:sz w:val="28"/>
          <w:szCs w:val="28"/>
        </w:rPr>
        <w:t xml:space="preserve"> glutamatergique,</w:t>
      </w:r>
    </w:p>
    <w:p w14:paraId="597811A1" w14:textId="77777777" w:rsidR="009B7EBB" w:rsidRPr="00AB3B2F" w:rsidRDefault="009B7EBB" w:rsidP="004A196D">
      <w:pPr>
        <w:pStyle w:val="Paragraphedeliste"/>
        <w:numPr>
          <w:ilvl w:val="0"/>
          <w:numId w:val="46"/>
        </w:numPr>
        <w:rPr>
          <w:sz w:val="28"/>
          <w:szCs w:val="28"/>
        </w:rPr>
      </w:pPr>
      <w:proofErr w:type="gramStart"/>
      <w:r w:rsidRPr="00AB3B2F">
        <w:rPr>
          <w:sz w:val="28"/>
          <w:szCs w:val="28"/>
        </w:rPr>
        <w:t>soutien</w:t>
      </w:r>
      <w:proofErr w:type="gramEnd"/>
      <w:r w:rsidRPr="00AB3B2F">
        <w:rPr>
          <w:sz w:val="28"/>
          <w:szCs w:val="28"/>
        </w:rPr>
        <w:t xml:space="preserve"> de la neurogenèse.</w:t>
      </w:r>
    </w:p>
    <w:p w14:paraId="6E492D05" w14:textId="77777777" w:rsidR="009B7EBB" w:rsidRPr="00AB3B2F" w:rsidRDefault="009B7EBB" w:rsidP="009B7EBB">
      <w:pPr>
        <w:rPr>
          <w:b/>
          <w:bCs/>
          <w:sz w:val="28"/>
          <w:szCs w:val="28"/>
        </w:rPr>
      </w:pPr>
      <w:r w:rsidRPr="00AB3B2F">
        <w:rPr>
          <w:b/>
          <w:bCs/>
          <w:sz w:val="28"/>
          <w:szCs w:val="28"/>
        </w:rPr>
        <w:t>Zinc</w:t>
      </w:r>
    </w:p>
    <w:p w14:paraId="0851095D" w14:textId="77777777" w:rsidR="009B7EBB" w:rsidRPr="00AB3B2F" w:rsidRDefault="009B7EBB" w:rsidP="009B7EBB">
      <w:pPr>
        <w:rPr>
          <w:sz w:val="28"/>
          <w:szCs w:val="28"/>
        </w:rPr>
      </w:pPr>
      <w:r w:rsidRPr="00AB3B2F">
        <w:rPr>
          <w:sz w:val="28"/>
          <w:szCs w:val="28"/>
        </w:rPr>
        <w:t>Des concentrations plus faibles sont observées dans la DRT. La supplémentation peut réduire la sévérité symptomatique, surtout en monothérapie dans certaines études.</w:t>
      </w:r>
    </w:p>
    <w:p w14:paraId="27E0E1AB" w14:textId="77777777" w:rsidR="009B7EBB" w:rsidRPr="00AB3B2F" w:rsidRDefault="009B7EBB" w:rsidP="009B7EBB">
      <w:pPr>
        <w:rPr>
          <w:sz w:val="28"/>
          <w:szCs w:val="28"/>
        </w:rPr>
      </w:pPr>
      <w:r w:rsidRPr="00AB3B2F">
        <w:rPr>
          <w:sz w:val="28"/>
          <w:szCs w:val="28"/>
        </w:rPr>
        <w:t>Une méta-analyse de 52 essais (n = 4049) suggère un bénéfice potentiel de plusieurs antioxydants (magnésium, zinc, sélénium, coenzyme Q10, crocine) en adjuvant.</w:t>
      </w:r>
    </w:p>
    <w:p w14:paraId="793E2F64" w14:textId="1662395D" w:rsidR="009B7EBB" w:rsidRPr="00AB3B2F" w:rsidRDefault="009B7EBB" w:rsidP="009B7EBB">
      <w:pPr>
        <w:rPr>
          <w:sz w:val="28"/>
          <w:szCs w:val="28"/>
        </w:rPr>
      </w:pPr>
    </w:p>
    <w:p w14:paraId="61ACFA19" w14:textId="77777777" w:rsidR="009B7EBB" w:rsidRPr="00AB3B2F" w:rsidRDefault="009B7EBB" w:rsidP="009B7EBB">
      <w:pPr>
        <w:rPr>
          <w:b/>
          <w:bCs/>
          <w:color w:val="4472C4" w:themeColor="accent1"/>
          <w:sz w:val="28"/>
          <w:szCs w:val="28"/>
        </w:rPr>
      </w:pPr>
      <w:r w:rsidRPr="00AB3B2F">
        <w:rPr>
          <w:b/>
          <w:bCs/>
          <w:color w:val="4472C4" w:themeColor="accent1"/>
          <w:sz w:val="28"/>
          <w:szCs w:val="28"/>
        </w:rPr>
        <w:t>Conclusions et perspectives</w:t>
      </w:r>
    </w:p>
    <w:p w14:paraId="44038B24" w14:textId="77777777" w:rsidR="009B7EBB" w:rsidRPr="00AB3B2F" w:rsidRDefault="009B7EBB" w:rsidP="009B7EBB">
      <w:pPr>
        <w:rPr>
          <w:sz w:val="28"/>
          <w:szCs w:val="28"/>
        </w:rPr>
      </w:pPr>
      <w:r w:rsidRPr="00AB3B2F">
        <w:rPr>
          <w:sz w:val="28"/>
          <w:szCs w:val="28"/>
        </w:rPr>
        <w:t>Le stress oxydatif apparaît non seulement comme un mécanisme clé de la physiopathologie dépressive, mais aussi comme une cible thérapeutique prometteuse dans la dépression résistante.</w:t>
      </w:r>
    </w:p>
    <w:p w14:paraId="56FDB9CC" w14:textId="77777777" w:rsidR="009B7EBB" w:rsidRPr="00AB3B2F" w:rsidRDefault="009B7EBB" w:rsidP="009B7EBB">
      <w:pPr>
        <w:rPr>
          <w:b/>
          <w:bCs/>
          <w:sz w:val="28"/>
          <w:szCs w:val="28"/>
        </w:rPr>
      </w:pPr>
      <w:r w:rsidRPr="00AB3B2F">
        <w:rPr>
          <w:b/>
          <w:bCs/>
          <w:sz w:val="28"/>
          <w:szCs w:val="28"/>
        </w:rPr>
        <w:t>Points majeurs</w:t>
      </w:r>
    </w:p>
    <w:p w14:paraId="5ECD9928" w14:textId="77777777" w:rsidR="009B7EBB" w:rsidRPr="00AB3B2F" w:rsidRDefault="009B7EBB" w:rsidP="004A196D">
      <w:pPr>
        <w:numPr>
          <w:ilvl w:val="0"/>
          <w:numId w:val="47"/>
        </w:numPr>
        <w:rPr>
          <w:sz w:val="28"/>
          <w:szCs w:val="28"/>
        </w:rPr>
      </w:pPr>
      <w:r w:rsidRPr="00AB3B2F">
        <w:rPr>
          <w:sz w:val="28"/>
          <w:szCs w:val="28"/>
        </w:rPr>
        <w:t>Le déséquilibre rédox persistant influence inflammation, neurotransmission et neuroplasticité.</w:t>
      </w:r>
    </w:p>
    <w:p w14:paraId="10796967" w14:textId="77777777" w:rsidR="009B7EBB" w:rsidRPr="00AB3B2F" w:rsidRDefault="009B7EBB" w:rsidP="004A196D">
      <w:pPr>
        <w:numPr>
          <w:ilvl w:val="0"/>
          <w:numId w:val="47"/>
        </w:numPr>
        <w:rPr>
          <w:sz w:val="28"/>
          <w:szCs w:val="28"/>
        </w:rPr>
      </w:pPr>
      <w:r w:rsidRPr="00AB3B2F">
        <w:rPr>
          <w:sz w:val="28"/>
          <w:szCs w:val="28"/>
        </w:rPr>
        <w:t>Des marqueurs élevés de dommage oxydatif associés à une faible capacité antioxydante pourraient définir un sous-groupe biologique de DRT.</w:t>
      </w:r>
    </w:p>
    <w:p w14:paraId="1CCD4E0A" w14:textId="77777777" w:rsidR="009B7EBB" w:rsidRPr="00AB3B2F" w:rsidRDefault="009B7EBB" w:rsidP="004A196D">
      <w:pPr>
        <w:numPr>
          <w:ilvl w:val="0"/>
          <w:numId w:val="47"/>
        </w:numPr>
        <w:rPr>
          <w:sz w:val="28"/>
          <w:szCs w:val="28"/>
        </w:rPr>
      </w:pPr>
      <w:r w:rsidRPr="00AB3B2F">
        <w:rPr>
          <w:sz w:val="28"/>
          <w:szCs w:val="28"/>
        </w:rPr>
        <w:t>Les biomarqueurs du SO pourraient aider à la stratification des patients et au suivi thérapeutique.</w:t>
      </w:r>
    </w:p>
    <w:p w14:paraId="0B37A343" w14:textId="77777777" w:rsidR="009B7EBB" w:rsidRPr="00AB3B2F" w:rsidRDefault="009B7EBB" w:rsidP="004A196D">
      <w:pPr>
        <w:numPr>
          <w:ilvl w:val="0"/>
          <w:numId w:val="47"/>
        </w:numPr>
        <w:rPr>
          <w:sz w:val="28"/>
          <w:szCs w:val="28"/>
        </w:rPr>
      </w:pPr>
      <w:r w:rsidRPr="00AB3B2F">
        <w:rPr>
          <w:sz w:val="28"/>
          <w:szCs w:val="28"/>
        </w:rPr>
        <w:t>Une approche intégrée combinant pharmacothérapie, interventions nutritionnelles et stratégies antioxydantes ciblées est encouragée.</w:t>
      </w:r>
    </w:p>
    <w:p w14:paraId="707EFBB5" w14:textId="39E0FAA8" w:rsidR="009B7EBB" w:rsidRDefault="009B7EBB" w:rsidP="009B7EBB">
      <w:pPr>
        <w:rPr>
          <w:sz w:val="28"/>
          <w:szCs w:val="28"/>
        </w:rPr>
      </w:pPr>
      <w:r w:rsidRPr="00AB3B2F">
        <w:rPr>
          <w:sz w:val="28"/>
          <w:szCs w:val="28"/>
        </w:rPr>
        <w:lastRenderedPageBreak/>
        <w:t>Les auteurs soulignent toutefois que l’hétérogénéité biologique de la DRT limite actuellement l’application clinique routinière de ces marqueurs. Des études bien conçues restent nécessaires pour valider les stratégies personnalisées basées sur le stress oxydatif.</w:t>
      </w:r>
    </w:p>
    <w:p w14:paraId="06FCC7CA" w14:textId="3E8341FF" w:rsidR="00AB3B2F" w:rsidRPr="00AB3B2F" w:rsidRDefault="00AB3B2F" w:rsidP="00AB3B2F">
      <w:pPr>
        <w:jc w:val="right"/>
        <w:rPr>
          <w:color w:val="FF0000"/>
          <w:sz w:val="28"/>
          <w:szCs w:val="28"/>
        </w:rPr>
      </w:pPr>
      <w:r w:rsidRPr="00AB3B2F">
        <w:rPr>
          <w:color w:val="FF0000"/>
          <w:sz w:val="28"/>
          <w:szCs w:val="28"/>
        </w:rPr>
        <w:t xml:space="preserve">Dr Yassine </w:t>
      </w:r>
      <w:proofErr w:type="spellStart"/>
      <w:r w:rsidRPr="00AB3B2F">
        <w:rPr>
          <w:color w:val="FF0000"/>
          <w:sz w:val="28"/>
          <w:szCs w:val="28"/>
        </w:rPr>
        <w:t>Nassiri</w:t>
      </w:r>
      <w:proofErr w:type="spellEnd"/>
    </w:p>
    <w:p w14:paraId="4C87B92A" w14:textId="065A3D85" w:rsidR="00AB3B2F" w:rsidRPr="00AB3B2F" w:rsidRDefault="00AB3B2F" w:rsidP="00AB3B2F">
      <w:pPr>
        <w:jc w:val="right"/>
        <w:rPr>
          <w:color w:val="FF0000"/>
          <w:sz w:val="28"/>
          <w:szCs w:val="28"/>
        </w:rPr>
      </w:pPr>
      <w:r w:rsidRPr="00AB3B2F">
        <w:rPr>
          <w:color w:val="FF0000"/>
          <w:sz w:val="28"/>
          <w:szCs w:val="28"/>
        </w:rPr>
        <w:t>CHU Mohammed VI. Agadir</w:t>
      </w:r>
    </w:p>
    <w:p w14:paraId="676FBBE0" w14:textId="6C028899" w:rsidR="00AB3B2F" w:rsidRPr="00AB3B2F" w:rsidRDefault="00AB3B2F" w:rsidP="00AB3B2F">
      <w:pPr>
        <w:jc w:val="right"/>
        <w:rPr>
          <w:color w:val="FF0000"/>
          <w:sz w:val="28"/>
          <w:szCs w:val="28"/>
        </w:rPr>
      </w:pPr>
      <w:r w:rsidRPr="00AB3B2F">
        <w:rPr>
          <w:color w:val="FF0000"/>
          <w:sz w:val="28"/>
          <w:szCs w:val="28"/>
        </w:rPr>
        <w:t>Février 2026</w:t>
      </w:r>
    </w:p>
    <w:p w14:paraId="5E757CAE" w14:textId="77777777" w:rsidR="0054602F" w:rsidRPr="00AB3B2F" w:rsidRDefault="0054602F" w:rsidP="00AB3B2F">
      <w:pPr>
        <w:jc w:val="right"/>
        <w:rPr>
          <w:color w:val="FF0000"/>
          <w:sz w:val="28"/>
          <w:szCs w:val="28"/>
        </w:rPr>
      </w:pPr>
    </w:p>
    <w:sectPr w:rsidR="0054602F" w:rsidRPr="00AB3B2F" w:rsidSect="009B7EB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A27"/>
    <w:multiLevelType w:val="hybridMultilevel"/>
    <w:tmpl w:val="0DB05C36"/>
    <w:lvl w:ilvl="0" w:tplc="190640C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A02CD"/>
    <w:multiLevelType w:val="multilevel"/>
    <w:tmpl w:val="4238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1D95"/>
    <w:multiLevelType w:val="multilevel"/>
    <w:tmpl w:val="1F1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5363"/>
    <w:multiLevelType w:val="multilevel"/>
    <w:tmpl w:val="851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90764"/>
    <w:multiLevelType w:val="multilevel"/>
    <w:tmpl w:val="9442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B42AB"/>
    <w:multiLevelType w:val="multilevel"/>
    <w:tmpl w:val="E4CAD950"/>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9469B"/>
    <w:multiLevelType w:val="multilevel"/>
    <w:tmpl w:val="E40E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61CCA"/>
    <w:multiLevelType w:val="hybridMultilevel"/>
    <w:tmpl w:val="6C70A696"/>
    <w:lvl w:ilvl="0" w:tplc="43E4F5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F96F00"/>
    <w:multiLevelType w:val="multilevel"/>
    <w:tmpl w:val="461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C643C"/>
    <w:multiLevelType w:val="multilevel"/>
    <w:tmpl w:val="250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3330F"/>
    <w:multiLevelType w:val="multilevel"/>
    <w:tmpl w:val="526A2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023B3"/>
    <w:multiLevelType w:val="multilevel"/>
    <w:tmpl w:val="526A2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4092B"/>
    <w:multiLevelType w:val="multilevel"/>
    <w:tmpl w:val="F13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B1B50"/>
    <w:multiLevelType w:val="multilevel"/>
    <w:tmpl w:val="F69AF8D4"/>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B687F"/>
    <w:multiLevelType w:val="multilevel"/>
    <w:tmpl w:val="4F9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827E0"/>
    <w:multiLevelType w:val="multilevel"/>
    <w:tmpl w:val="F17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537577"/>
    <w:multiLevelType w:val="multilevel"/>
    <w:tmpl w:val="5EDEDD3E"/>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364B7"/>
    <w:multiLevelType w:val="multilevel"/>
    <w:tmpl w:val="E62A8700"/>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05506"/>
    <w:multiLevelType w:val="multilevel"/>
    <w:tmpl w:val="0B1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66454"/>
    <w:multiLevelType w:val="multilevel"/>
    <w:tmpl w:val="8CB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700E5"/>
    <w:multiLevelType w:val="hybridMultilevel"/>
    <w:tmpl w:val="FE12A0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A022A8"/>
    <w:multiLevelType w:val="multilevel"/>
    <w:tmpl w:val="85BE3622"/>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B466A"/>
    <w:multiLevelType w:val="multilevel"/>
    <w:tmpl w:val="6C789FC6"/>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30A62"/>
    <w:multiLevelType w:val="multilevel"/>
    <w:tmpl w:val="E06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F348F"/>
    <w:multiLevelType w:val="multilevel"/>
    <w:tmpl w:val="BED0AB8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BE76FC"/>
    <w:multiLevelType w:val="multilevel"/>
    <w:tmpl w:val="1BAE2D00"/>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66EC9"/>
    <w:multiLevelType w:val="multilevel"/>
    <w:tmpl w:val="B6B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95482"/>
    <w:multiLevelType w:val="multilevel"/>
    <w:tmpl w:val="7E0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E4D92"/>
    <w:multiLevelType w:val="multilevel"/>
    <w:tmpl w:val="552611E0"/>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AE70B0"/>
    <w:multiLevelType w:val="multilevel"/>
    <w:tmpl w:val="D8A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E49F7"/>
    <w:multiLevelType w:val="multilevel"/>
    <w:tmpl w:val="74009464"/>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2065D"/>
    <w:multiLevelType w:val="multilevel"/>
    <w:tmpl w:val="27D8E382"/>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E3524A"/>
    <w:multiLevelType w:val="multilevel"/>
    <w:tmpl w:val="B2285222"/>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107027"/>
    <w:multiLevelType w:val="multilevel"/>
    <w:tmpl w:val="6C789FC6"/>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34CB3"/>
    <w:multiLevelType w:val="multilevel"/>
    <w:tmpl w:val="4A46E710"/>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A7192"/>
    <w:multiLevelType w:val="multilevel"/>
    <w:tmpl w:val="847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D4A4E"/>
    <w:multiLevelType w:val="multilevel"/>
    <w:tmpl w:val="ABEA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6C060D"/>
    <w:multiLevelType w:val="multilevel"/>
    <w:tmpl w:val="7BBC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420565"/>
    <w:multiLevelType w:val="multilevel"/>
    <w:tmpl w:val="2BB2AE4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552EE"/>
    <w:multiLevelType w:val="multilevel"/>
    <w:tmpl w:val="9BA0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C64B6B"/>
    <w:multiLevelType w:val="multilevel"/>
    <w:tmpl w:val="00D2F35E"/>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C31292"/>
    <w:multiLevelType w:val="multilevel"/>
    <w:tmpl w:val="526A29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F35A2"/>
    <w:multiLevelType w:val="multilevel"/>
    <w:tmpl w:val="56B01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D45D32"/>
    <w:multiLevelType w:val="multilevel"/>
    <w:tmpl w:val="D550026C"/>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10311"/>
    <w:multiLevelType w:val="multilevel"/>
    <w:tmpl w:val="BEB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1F2415"/>
    <w:multiLevelType w:val="multilevel"/>
    <w:tmpl w:val="C88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A63E8"/>
    <w:multiLevelType w:val="multilevel"/>
    <w:tmpl w:val="1728A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D3A20"/>
    <w:multiLevelType w:val="multilevel"/>
    <w:tmpl w:val="2CB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123DF"/>
    <w:multiLevelType w:val="multilevel"/>
    <w:tmpl w:val="4DE48B44"/>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570431"/>
    <w:multiLevelType w:val="multilevel"/>
    <w:tmpl w:val="0B42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9"/>
  </w:num>
  <w:num w:numId="3">
    <w:abstractNumId w:val="3"/>
  </w:num>
  <w:num w:numId="4">
    <w:abstractNumId w:val="4"/>
  </w:num>
  <w:num w:numId="5">
    <w:abstractNumId w:val="8"/>
  </w:num>
  <w:num w:numId="6">
    <w:abstractNumId w:val="27"/>
  </w:num>
  <w:num w:numId="7">
    <w:abstractNumId w:val="34"/>
  </w:num>
  <w:num w:numId="8">
    <w:abstractNumId w:val="9"/>
  </w:num>
  <w:num w:numId="9">
    <w:abstractNumId w:val="15"/>
  </w:num>
  <w:num w:numId="10">
    <w:abstractNumId w:val="12"/>
  </w:num>
  <w:num w:numId="11">
    <w:abstractNumId w:val="45"/>
  </w:num>
  <w:num w:numId="12">
    <w:abstractNumId w:val="2"/>
  </w:num>
  <w:num w:numId="13">
    <w:abstractNumId w:val="1"/>
  </w:num>
  <w:num w:numId="14">
    <w:abstractNumId w:val="47"/>
  </w:num>
  <w:num w:numId="15">
    <w:abstractNumId w:val="26"/>
  </w:num>
  <w:num w:numId="16">
    <w:abstractNumId w:val="39"/>
  </w:num>
  <w:num w:numId="17">
    <w:abstractNumId w:val="37"/>
  </w:num>
  <w:num w:numId="18">
    <w:abstractNumId w:val="18"/>
  </w:num>
  <w:num w:numId="19">
    <w:abstractNumId w:val="14"/>
  </w:num>
  <w:num w:numId="20">
    <w:abstractNumId w:val="35"/>
  </w:num>
  <w:num w:numId="21">
    <w:abstractNumId w:val="49"/>
  </w:num>
  <w:num w:numId="22">
    <w:abstractNumId w:val="6"/>
  </w:num>
  <w:num w:numId="23">
    <w:abstractNumId w:val="44"/>
  </w:num>
  <w:num w:numId="24">
    <w:abstractNumId w:val="23"/>
  </w:num>
  <w:num w:numId="25">
    <w:abstractNumId w:val="36"/>
  </w:num>
  <w:num w:numId="26">
    <w:abstractNumId w:val="7"/>
  </w:num>
  <w:num w:numId="27">
    <w:abstractNumId w:val="0"/>
  </w:num>
  <w:num w:numId="28">
    <w:abstractNumId w:val="33"/>
  </w:num>
  <w:num w:numId="29">
    <w:abstractNumId w:val="22"/>
  </w:num>
  <w:num w:numId="30">
    <w:abstractNumId w:val="16"/>
  </w:num>
  <w:num w:numId="31">
    <w:abstractNumId w:val="20"/>
  </w:num>
  <w:num w:numId="32">
    <w:abstractNumId w:val="30"/>
  </w:num>
  <w:num w:numId="33">
    <w:abstractNumId w:val="13"/>
  </w:num>
  <w:num w:numId="34">
    <w:abstractNumId w:val="31"/>
  </w:num>
  <w:num w:numId="35">
    <w:abstractNumId w:val="5"/>
  </w:num>
  <w:num w:numId="36">
    <w:abstractNumId w:val="21"/>
  </w:num>
  <w:num w:numId="37">
    <w:abstractNumId w:val="38"/>
  </w:num>
  <w:num w:numId="38">
    <w:abstractNumId w:val="25"/>
  </w:num>
  <w:num w:numId="39">
    <w:abstractNumId w:val="48"/>
  </w:num>
  <w:num w:numId="40">
    <w:abstractNumId w:val="17"/>
  </w:num>
  <w:num w:numId="41">
    <w:abstractNumId w:val="32"/>
  </w:num>
  <w:num w:numId="42">
    <w:abstractNumId w:val="43"/>
  </w:num>
  <w:num w:numId="43">
    <w:abstractNumId w:val="42"/>
  </w:num>
  <w:num w:numId="44">
    <w:abstractNumId w:val="41"/>
  </w:num>
  <w:num w:numId="45">
    <w:abstractNumId w:val="11"/>
  </w:num>
  <w:num w:numId="46">
    <w:abstractNumId w:val="10"/>
  </w:num>
  <w:num w:numId="47">
    <w:abstractNumId w:val="46"/>
  </w:num>
  <w:num w:numId="48">
    <w:abstractNumId w:val="40"/>
  </w:num>
  <w:num w:numId="49">
    <w:abstractNumId w:val="2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BB"/>
    <w:rsid w:val="00132E9C"/>
    <w:rsid w:val="003F53DC"/>
    <w:rsid w:val="004A196D"/>
    <w:rsid w:val="0054602F"/>
    <w:rsid w:val="00896C03"/>
    <w:rsid w:val="009B7EBB"/>
    <w:rsid w:val="00AA10A7"/>
    <w:rsid w:val="00AB3B2F"/>
    <w:rsid w:val="00BB0024"/>
    <w:rsid w:val="00C40D9A"/>
    <w:rsid w:val="00CB37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7185"/>
  <w15:chartTrackingRefBased/>
  <w15:docId w15:val="{8C86E90C-6530-44E6-8F18-DFA8E734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B7E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7E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7E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7E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7E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7E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7E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7E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7E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7E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7E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7E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7E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7E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7E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7E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7E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7EBB"/>
    <w:rPr>
      <w:rFonts w:eastAsiaTheme="majorEastAsia" w:cstheme="majorBidi"/>
      <w:color w:val="272727" w:themeColor="text1" w:themeTint="D8"/>
    </w:rPr>
  </w:style>
  <w:style w:type="paragraph" w:styleId="Titre">
    <w:name w:val="Title"/>
    <w:basedOn w:val="Normal"/>
    <w:next w:val="Normal"/>
    <w:link w:val="TitreCar"/>
    <w:uiPriority w:val="10"/>
    <w:qFormat/>
    <w:rsid w:val="009B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7E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7E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7E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7EBB"/>
    <w:pPr>
      <w:spacing w:before="160"/>
      <w:jc w:val="center"/>
    </w:pPr>
    <w:rPr>
      <w:i/>
      <w:iCs/>
      <w:color w:val="404040" w:themeColor="text1" w:themeTint="BF"/>
    </w:rPr>
  </w:style>
  <w:style w:type="character" w:customStyle="1" w:styleId="CitationCar">
    <w:name w:val="Citation Car"/>
    <w:basedOn w:val="Policepardfaut"/>
    <w:link w:val="Citation"/>
    <w:uiPriority w:val="29"/>
    <w:rsid w:val="009B7EBB"/>
    <w:rPr>
      <w:i/>
      <w:iCs/>
      <w:color w:val="404040" w:themeColor="text1" w:themeTint="BF"/>
    </w:rPr>
  </w:style>
  <w:style w:type="paragraph" w:styleId="Paragraphedeliste">
    <w:name w:val="List Paragraph"/>
    <w:basedOn w:val="Normal"/>
    <w:uiPriority w:val="34"/>
    <w:qFormat/>
    <w:rsid w:val="009B7EBB"/>
    <w:pPr>
      <w:ind w:left="720"/>
      <w:contextualSpacing/>
    </w:pPr>
  </w:style>
  <w:style w:type="character" w:styleId="Emphaseintense">
    <w:name w:val="Intense Emphasis"/>
    <w:basedOn w:val="Policepardfaut"/>
    <w:uiPriority w:val="21"/>
    <w:qFormat/>
    <w:rsid w:val="009B7EBB"/>
    <w:rPr>
      <w:i/>
      <w:iCs/>
      <w:color w:val="2F5496" w:themeColor="accent1" w:themeShade="BF"/>
    </w:rPr>
  </w:style>
  <w:style w:type="paragraph" w:styleId="Citationintense">
    <w:name w:val="Intense Quote"/>
    <w:basedOn w:val="Normal"/>
    <w:next w:val="Normal"/>
    <w:link w:val="CitationintenseCar"/>
    <w:uiPriority w:val="30"/>
    <w:qFormat/>
    <w:rsid w:val="009B7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7EBB"/>
    <w:rPr>
      <w:i/>
      <w:iCs/>
      <w:color w:val="2F5496" w:themeColor="accent1" w:themeShade="BF"/>
    </w:rPr>
  </w:style>
  <w:style w:type="character" w:styleId="Rfrenceintense">
    <w:name w:val="Intense Reference"/>
    <w:basedOn w:val="Policepardfaut"/>
    <w:uiPriority w:val="32"/>
    <w:qFormat/>
    <w:rsid w:val="009B7E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1425</Words>
  <Characters>8123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soukayna ns</dc:creator>
  <cp:keywords/>
  <dc:description/>
  <cp:lastModifiedBy>pc</cp:lastModifiedBy>
  <cp:revision>3</cp:revision>
  <dcterms:created xsi:type="dcterms:W3CDTF">2026-02-25T22:47:00Z</dcterms:created>
  <dcterms:modified xsi:type="dcterms:W3CDTF">2026-02-26T00:38:00Z</dcterms:modified>
</cp:coreProperties>
</file>