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02E34" w14:textId="0263A211" w:rsidR="002F6F8C" w:rsidRPr="00FF0354" w:rsidRDefault="29931951" w:rsidP="70A224F4">
      <w:pPr>
        <w:pStyle w:val="Titre"/>
        <w:jc w:val="center"/>
        <w:rPr>
          <w:color w:val="FF0000"/>
          <w:sz w:val="44"/>
          <w:szCs w:val="44"/>
        </w:rPr>
      </w:pPr>
      <w:r w:rsidRPr="00FF0354">
        <w:rPr>
          <w:color w:val="FF0000"/>
          <w:sz w:val="44"/>
          <w:szCs w:val="44"/>
        </w:rPr>
        <w:t>Marqueurs cliniques et biologiques de l’efficacité de l’électroconvulsivothérapie : une revue narrative</w:t>
      </w:r>
    </w:p>
    <w:p w14:paraId="444DA214" w14:textId="299EAECF" w:rsidR="002F6F8C" w:rsidRDefault="002F6F8C" w:rsidP="70A224F4"/>
    <w:p w14:paraId="37F61731" w14:textId="472DAE21" w:rsidR="002F6F8C" w:rsidRDefault="57AC5BD4" w:rsidP="70A224F4">
      <w:r>
        <w:rPr>
          <w:noProof/>
          <w:lang w:val="en-GB" w:eastAsia="en-GB"/>
        </w:rPr>
        <w:drawing>
          <wp:inline distT="0" distB="0" distL="0" distR="0" wp14:anchorId="4B4D48B1" wp14:editId="5D678E3D">
            <wp:extent cx="5724525" cy="1971675"/>
            <wp:effectExtent l="0" t="0" r="0" b="0"/>
            <wp:docPr id="2195432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43278" name="Picture 219543278"/>
                    <pic:cNvPicPr/>
                  </pic:nvPicPr>
                  <pic:blipFill>
                    <a:blip r:embed="rId4">
                      <a:extLst>
                        <a:ext uri="{28A0092B-C50C-407E-A947-70E740481C1C}">
                          <a14:useLocalDpi xmlns:a14="http://schemas.microsoft.com/office/drawing/2010/main"/>
                        </a:ext>
                      </a:extLst>
                    </a:blip>
                    <a:stretch>
                      <a:fillRect/>
                    </a:stretch>
                  </pic:blipFill>
                  <pic:spPr>
                    <a:xfrm>
                      <a:off x="0" y="0"/>
                      <a:ext cx="5724525" cy="1971675"/>
                    </a:xfrm>
                    <a:prstGeom prst="rect">
                      <a:avLst/>
                    </a:prstGeom>
                  </pic:spPr>
                </pic:pic>
              </a:graphicData>
            </a:graphic>
          </wp:inline>
        </w:drawing>
      </w:r>
    </w:p>
    <w:p w14:paraId="7FCC803A" w14:textId="5E51743F" w:rsidR="002F6F8C" w:rsidRDefault="29931951" w:rsidP="70A224F4">
      <w:pPr>
        <w:pStyle w:val="Titre1"/>
      </w:pPr>
      <w:r>
        <w:t>Introduction</w:t>
      </w:r>
    </w:p>
    <w:p w14:paraId="5F01CFDF" w14:textId="3A8E9990" w:rsidR="002F6F8C" w:rsidRDefault="29931951" w:rsidP="70A224F4">
      <w:r>
        <w:t xml:space="preserve">La recherche de prédicteurs fiables de la réponse à l’électroconvulsivothérapie (ECT) est un enjeu majeur pour optimiser son utilisation. Bien que l’ECT soit le traitement le plus efficace pour certains troubles psychiatriques sévères, son utilisation reste souvent tardive. Des prédicteurs permettraient un accès plus précoce pour les patients les plus susceptibles d’en bénéficier et d’éviter des traitements inutiles aux autres. Les biomarqueurs sont classés en trois catégories : les prédicteurs (associés au résultat global), les modérateurs (indiquant une réponse différentielle selon les traitements) et les médiateurs (reflétant les mécanismes d’action sous-jacents). Les progrès en neuroimagerie et en biologie moléculaire ont </w:t>
      </w:r>
      <w:proofErr w:type="gramStart"/>
      <w:r>
        <w:t>amélioré</w:t>
      </w:r>
      <w:proofErr w:type="gramEnd"/>
      <w:r>
        <w:t xml:space="preserve"> la compréhension de la physiopathologie des troubles et des facteurs influençant la réponse à l’ECT, mais une intégration complète de ces données en pratique clinique fait défaut. Cette revue se concentre sur les troubles dépressifs.</w:t>
      </w:r>
    </w:p>
    <w:p w14:paraId="76ED4449" w14:textId="75A82D6E" w:rsidR="002F6F8C" w:rsidRDefault="29931951" w:rsidP="70A224F4">
      <w:pPr>
        <w:pStyle w:val="Titre1"/>
      </w:pPr>
      <w:r>
        <w:t>Facteurs cliniques et efficacité de l’ECT</w:t>
      </w:r>
    </w:p>
    <w:p w14:paraId="54F21E0E" w14:textId="42BF93E6" w:rsidR="002F6F8C" w:rsidRDefault="29931951" w:rsidP="70A224F4">
      <w:r>
        <w:t>Les premières publications sur les facteurs cliniques prédictifs de la réponse à l’ECT datent des années 1950, montrant déjà une meilleure réponse dans les dépressions dites "endogènes".</w:t>
      </w:r>
    </w:p>
    <w:p w14:paraId="3F6210B5" w14:textId="495CC49F" w:rsidR="002F6F8C" w:rsidRDefault="29931951" w:rsidP="70A224F4">
      <w:pPr>
        <w:rPr>
          <w:b/>
          <w:bCs/>
        </w:rPr>
      </w:pPr>
      <w:r w:rsidRPr="70A224F4">
        <w:rPr>
          <w:b/>
          <w:bCs/>
        </w:rPr>
        <w:t>Méta-analyses et études cliniques :</w:t>
      </w:r>
    </w:p>
    <w:p w14:paraId="15DF12CC" w14:textId="6B167CBC" w:rsidR="002F6F8C" w:rsidRDefault="29931951" w:rsidP="70A224F4">
      <w:r>
        <w:t>Une méta-analyse a montré un taux de rémission significativement plus bas chez les patients résistants aux antidépresseurs (48% vs 64,9%).</w:t>
      </w:r>
    </w:p>
    <w:p w14:paraId="539822C4" w14:textId="1666B785" w:rsidR="002F6F8C" w:rsidRDefault="29931951" w:rsidP="70A224F4">
      <w:r>
        <w:lastRenderedPageBreak/>
        <w:t>Une autre a identifié des prédicteurs positifs de réponse et de rémission : l’âge plus élevé, la présence de symptômes psychotiques, un épisode dépressif plus court, et l’absence de trouble de la personnalité.</w:t>
      </w:r>
    </w:p>
    <w:p w14:paraId="1618D778" w14:textId="5B87FF1E" w:rsidR="002F6F8C" w:rsidRDefault="29931951" w:rsidP="70A224F4">
      <w:r>
        <w:t>Des analyses secondaires d'essais comparant kétamine et ECT suggèrent que les patients plus âgés (&gt;50 ans) et ceux présentant des symptômes psychotiques répondent mieux à l’ECT.</w:t>
      </w:r>
    </w:p>
    <w:p w14:paraId="402C2E15" w14:textId="3DD95BEC" w:rsidR="002F6F8C" w:rsidRDefault="29931951" w:rsidP="70A224F4">
      <w:r>
        <w:t>D’autres facteurs cliniques sont rapportés, comme la sévérité de la dépression, la présence de symptômes psychomoteurs, les antécédents de traumatisme ou l’absence de capacité à consentir (associée à une meilleure réponse).</w:t>
      </w:r>
    </w:p>
    <w:p w14:paraId="75ABA87E" w14:textId="004A665E" w:rsidR="002F6F8C" w:rsidRDefault="29931951" w:rsidP="70A224F4">
      <w:r w:rsidRPr="70A224F4">
        <w:rPr>
          <w:b/>
          <w:bCs/>
        </w:rPr>
        <w:t>Interdépendance des facteurs :</w:t>
      </w:r>
    </w:p>
    <w:p w14:paraId="52063373" w14:textId="49E77648" w:rsidR="002F6F8C" w:rsidRDefault="29931951" w:rsidP="70A224F4">
      <w:r>
        <w:t>Les analyses de médiation montrent que les facteurs prédictifs ne sont pas indépendants. L’effet de l’âge sur la réponse semble être médié par la présence de symptômes psychotiques et psychomoteurs. La relation entre l’idéation suicidaire et une moins bonne réponse pourrait être expliquée par une prévalence plus élevée de troubles de la personnalité dans ce groupe.</w:t>
      </w:r>
    </w:p>
    <w:p w14:paraId="624830C2" w14:textId="59E9DD9E" w:rsidR="002F6F8C" w:rsidRDefault="29931951" w:rsidP="70A224F4">
      <w:r w:rsidRPr="70A224F4">
        <w:rPr>
          <w:b/>
          <w:bCs/>
        </w:rPr>
        <w:t>Modèles de prédiction clinique :</w:t>
      </w:r>
      <w:r w:rsidR="006F0569">
        <w:br/>
      </w:r>
      <w:r>
        <w:t>Des modèles de prédiction rétrospectifs (réseaux bayésiens, régression linéaire, apprentissage automatique) ont été développés, atteignant des performances modestes (AUC ~0,68). Des outils prospectifs comme le Göttingen Response to ECT Assessment Tool (GREAT) sont en cours de développement mais nécessitent une validation.</w:t>
      </w:r>
    </w:p>
    <w:p w14:paraId="1F0B7F12" w14:textId="2332796F" w:rsidR="002F6F8C" w:rsidRDefault="29931951" w:rsidP="70A224F4">
      <w:r w:rsidRPr="70A224F4">
        <w:rPr>
          <w:b/>
          <w:bCs/>
        </w:rPr>
        <w:t>Perspective :</w:t>
      </w:r>
      <w:r w:rsidR="006F0569">
        <w:br/>
      </w:r>
      <w:r>
        <w:t>Il est probable que différentes formes prototypiques de dépression existent, possiblement liées à l’âge, caractérisées par des symptômes distincts (psychotiques/psychomoteurs chez les patients âgés, troubles de la personnalité/auto-agressivité chez les plus jeunes) et une réponse différentielle à l’ECT. Les facteurs cliniques n’expliquant qu’une partie de la variance, des études multimodales sont nécessaires.</w:t>
      </w:r>
    </w:p>
    <w:p w14:paraId="7E90205C" w14:textId="20F1C2B2" w:rsidR="002F6F8C" w:rsidRDefault="00FF0354" w:rsidP="70A224F4">
      <w:pPr>
        <w:pStyle w:val="Titre1"/>
      </w:pPr>
      <w:r>
        <w:t>Épi</w:t>
      </w:r>
      <w:r w:rsidR="29931951">
        <w:t>génétique</w:t>
      </w:r>
    </w:p>
    <w:p w14:paraId="6BBBB3C6" w14:textId="386C6C99" w:rsidR="002F6F8C" w:rsidRDefault="29931951" w:rsidP="70A224F4">
      <w:r w:rsidRPr="70A224F4">
        <w:rPr>
          <w:b/>
          <w:bCs/>
        </w:rPr>
        <w:t>Études de gènes candidats :</w:t>
      </w:r>
      <w:r w:rsidR="006F0569">
        <w:br/>
      </w:r>
      <w:r>
        <w:t>Les études sur le Brain-Derived Neurotrophic Factor (BDNF) n’ont pas montré d’association significative avec la réponse à l’ECT. Pour le gène FKBP51, une augmentation de l’expression de l’acide ribonucléique messager (ARNm) a été observée chez les répondeurs. Des associations significatives ont été rapportées pour les polymorphismes des gènes COMT (Catéchol-O-Méthyltransférase) et DRD2 (Récepteur D2 de la dopamine), mais pas pour APOE ε4, SLC6A4 ou P2X7R.</w:t>
      </w:r>
    </w:p>
    <w:p w14:paraId="3A9D6C13" w14:textId="0BAEA5C6" w:rsidR="002F6F8C" w:rsidRDefault="29931951" w:rsidP="70A224F4">
      <w:r w:rsidRPr="70A224F4">
        <w:rPr>
          <w:b/>
          <w:bCs/>
        </w:rPr>
        <w:t>Scores de risque polygénique :</w:t>
      </w:r>
      <w:r w:rsidR="006F0569">
        <w:br/>
      </w:r>
      <w:r>
        <w:t xml:space="preserve">Les études montrent une plus grande charge de risque génétique (score de risque </w:t>
      </w:r>
      <w:r>
        <w:lastRenderedPageBreak/>
        <w:t>polygénique pour la dépression, SRP-Dépression) chez les patients traités par ECT comparés aux contrôles. Cependant, les résultats concernant la valeur prédictive des SRP pour la réponse à l’ECT sont incohérents : un SRP-Dépression plus élevé a été associé à une moins bonne amélioration dans une étude, tandis qu’un SRP pour la schizophrénie l’a été à une meilleure réponse dans une autre. Le consortium international Gen-ECT-ic vise à clarifier ces résultats.</w:t>
      </w:r>
    </w:p>
    <w:p w14:paraId="49C73041" w14:textId="24E1C61F" w:rsidR="002F6F8C" w:rsidRDefault="29931951" w:rsidP="70A224F4">
      <w:r w:rsidRPr="70A224F4">
        <w:rPr>
          <w:b/>
          <w:bCs/>
        </w:rPr>
        <w:t>Épigénétique :</w:t>
      </w:r>
      <w:r w:rsidR="006F0569">
        <w:br/>
      </w:r>
      <w:r>
        <w:t>Des modifications de la méthylation de l’acide désoxyribonucléique (ADN) induites par l’ECT ont été rapportées, notamment sur les promoteurs de BDNF, S100A10, et FKBP51, ainsi que des différences de méthylation entre répondeurs et non-répondeurs. Des changements dans l’expression de micro-acides ribonucléiques (miARN) ont également été observés. Une expression plus faible de miR-223-3p au départ était prédictive d’une meilleure réponse, avec une spécificité pour les processus inflammatoires. D’autres miARN (let-7b, let-7c, miR-126-3p, miR-324-3p) pourraient être impliqués dans les mécanismes de l’ECT, notamment en régulant des voies de signalisation liées à l’inflammation et à la neuroplasticité (voie PI3K-Akt-mTOR, facteur de croissance de l'endothélium vasculaire, VEGF). Malgré ces avancées, l’utilisation clinique de ces marqueurs reste éloignée.</w:t>
      </w:r>
    </w:p>
    <w:p w14:paraId="6C60AA77" w14:textId="7B09531F" w:rsidR="002F6F8C" w:rsidRDefault="29931951" w:rsidP="70A224F4">
      <w:pPr>
        <w:pStyle w:val="Titre1"/>
      </w:pPr>
      <w:r>
        <w:t>ECT et voie immuno-inflammatoire</w:t>
      </w:r>
    </w:p>
    <w:p w14:paraId="73292566" w14:textId="4EE5177A" w:rsidR="002F6F8C" w:rsidRDefault="29931951" w:rsidP="70A224F4">
      <w:r w:rsidRPr="70A224F4">
        <w:rPr>
          <w:b/>
          <w:bCs/>
        </w:rPr>
        <w:t>Dépression et neuro-inflammation :</w:t>
      </w:r>
      <w:r w:rsidR="006F0569">
        <w:br/>
      </w:r>
      <w:r>
        <w:t>Un sous-groupe de patients dépressifs présente une dérégulation de la réponse immune-inflammatoire. Le stress active la microglie, libérant des cytokines (TNFα, IL-6). Ces cytokines activent l'indoléamine 2,3-dioxygénase (IDO), déviant le métabolisme du tryptophane de la voie de la sérotonine vers la voie des kinurénines, réduisant ainsi la sérotonine disponible. Elles perturbent également l'axe hypothalamo-hypophyso-surrénalien.</w:t>
      </w:r>
    </w:p>
    <w:p w14:paraId="77851424" w14:textId="76EA7A38" w:rsidR="002F6F8C" w:rsidRDefault="29931951" w:rsidP="70A224F4">
      <w:r w:rsidRPr="70A224F4">
        <w:rPr>
          <w:b/>
          <w:bCs/>
        </w:rPr>
        <w:t>Marqueurs inflammatoires prédictifs de la réponse à l'ECT :</w:t>
      </w:r>
      <w:r w:rsidR="006F0569">
        <w:br/>
      </w:r>
      <w:r>
        <w:t>Une méta-analyse récente rapporte une association significative entre des taux de base plus élevés de protéine C réactive (CRP) et d'interleukine-6 (IL-6) et une meilleure réponse à l’ECT. Des taux plus bas de kinurénine (KYN) et de tryptophane sont également associés à une meilleure réponse. D’autres études suggèrent un rôle de l’IL-8 (avec un effet de genre) et de l’ARNm de NLRP3, IL-1β et TNFα.</w:t>
      </w:r>
    </w:p>
    <w:p w14:paraId="05AE1000" w14:textId="6D7A39A2" w:rsidR="002F6F8C" w:rsidRDefault="29931951" w:rsidP="70A224F4">
      <w:r w:rsidRPr="70A224F4">
        <w:rPr>
          <w:b/>
          <w:bCs/>
        </w:rPr>
        <w:t>Modifications longitudinales associées à l'ECT :</w:t>
      </w:r>
      <w:r w:rsidR="006F0569">
        <w:br/>
      </w:r>
      <w:r>
        <w:t>L'ECT semble déclencher une activation immunitaire aiguë et transitoire (augmentation du TNFα et de l'IL-6 15-30 minutes après une séance). Cette activation pourrait être thérapeutiquement pertinente. Sur le long cours, une méta-analyse confirme une augmentation immédiate de l'IL-6, suivie d'une diminution après la quatrième séance, pour revenir au niveau de base en fin de cure, avec une tendance à la baisse du TNFα.</w:t>
      </w:r>
    </w:p>
    <w:p w14:paraId="16145BA0" w14:textId="57032287" w:rsidR="002F6F8C" w:rsidRDefault="29931951" w:rsidP="70A224F4">
      <w:r w:rsidRPr="70A224F4">
        <w:rPr>
          <w:b/>
          <w:bCs/>
        </w:rPr>
        <w:lastRenderedPageBreak/>
        <w:t>Relation entre neuro-inflammation et neuroplasticité :</w:t>
      </w:r>
      <w:r w:rsidR="006F0569">
        <w:br/>
      </w:r>
      <w:r>
        <w:t>L'inflammation chronique perturbe la fonction microgliale et la neuroplasticité. L'ECT pourrait contrebalancer ces effets en rééquilibrant l'activité microgliale et en renforçant le soutien neurotrophique. Une étude a montré que la réduction de l'IL-6 et du TNFα en périphérie était corrélée à une augmentation du volume de l'hippocampe, suggérant un lien entre modulation inflammatoire et neuroplasticité centrale.</w:t>
      </w:r>
    </w:p>
    <w:p w14:paraId="45750BCA" w14:textId="13FC0EB1" w:rsidR="002F6F8C" w:rsidRDefault="29931951" w:rsidP="70A224F4">
      <w:pPr>
        <w:pStyle w:val="Titre1"/>
      </w:pPr>
      <w:r>
        <w:t>Neuro-imagerie</w:t>
      </w:r>
    </w:p>
    <w:p w14:paraId="3A30B327" w14:textId="6BC5BBC4" w:rsidR="002F6F8C" w:rsidRDefault="29931951" w:rsidP="70A224F4">
      <w:r w:rsidRPr="70A224F4">
        <w:rPr>
          <w:b/>
          <w:bCs/>
        </w:rPr>
        <w:t>Prédicteurs, modérateurs et médiateurs en neuro-imagerie :</w:t>
      </w:r>
      <w:r w:rsidR="006F0569">
        <w:br/>
      </w:r>
      <w:r>
        <w:t>Si la neuro-imagerie peut identifier des prédicteurs de réponse, cette revue se concentre sur les médiateurs, dont les données sont plus robustes et offrent un aperçu des mécanismes d'action. L'identification de médiateurs peut guider le développement de nouvelles stratégies thérapeutiques.</w:t>
      </w:r>
    </w:p>
    <w:p w14:paraId="7238F863" w14:textId="1C410819" w:rsidR="002F6F8C" w:rsidRDefault="29931951" w:rsidP="70A224F4">
      <w:r w:rsidRPr="70A224F4">
        <w:rPr>
          <w:b/>
          <w:bCs/>
        </w:rPr>
        <w:t>Changements structurels induits par l'ECT :</w:t>
      </w:r>
      <w:r w:rsidR="006F0569">
        <w:br/>
      </w:r>
      <w:r>
        <w:t>Depuis une étude pionnière de 2010, l'augmentation du volume de matière grise (MG) dans l'hippocampe post-ECT a été confirmée par de nombreuses études et méta-analyses, en particulier dans le gyrus denté. Des études précliniques suggèrent que cela reflète une augmentation de la neuroplasticité (arborisation dendritique, densité synaptique) plutôt qu'une neurogenèse ou un œdème, comme le confirment des études de micro-structure (imagerie du tenseur de diffusion, ITD, et tomographie par émission de positons, TEP).</w:t>
      </w:r>
    </w:p>
    <w:p w14:paraId="5D2345D4" w14:textId="69D821E5" w:rsidR="002F6F8C" w:rsidRDefault="29931951" w:rsidP="70A224F4">
      <w:r w:rsidRPr="70A224F4">
        <w:rPr>
          <w:b/>
          <w:bCs/>
        </w:rPr>
        <w:t>Pertinence clinique des changements de volume :</w:t>
      </w:r>
      <w:r w:rsidR="006F0569">
        <w:br/>
      </w:r>
      <w:r>
        <w:t>La corrélation entre l'augmentation du volume de l'hippocampe et l'amélioration clinique est incohérente. Il est suggéré que ces changements neuroplastiques, bien que nécessaires, ne sont pas suffisants. L'amélioration clinique pourrait dépendre de changements fonctionnels et de connectivité en aval, au sein de réseaux neuronaux plus larges. Les changements de volume sont également corrélés aux effets cognitifs (notion de "débarrassage mnésique"). De plus, les augmentations de volume les plus importantes ne sont pas spécifiques à la réponse clinique, mais sont aussi liées au nombre de séances et aux paramètres de stimulation, suggérant des effets non spécifiques de la stimulation électrique et des crises.</w:t>
      </w:r>
    </w:p>
    <w:p w14:paraId="28373814" w14:textId="6E2C75BB" w:rsidR="002F6F8C" w:rsidRDefault="29931951" w:rsidP="70A224F4">
      <w:r w:rsidRPr="70A224F4">
        <w:rPr>
          <w:b/>
          <w:bCs/>
        </w:rPr>
        <w:t>Effets neuroplastiques sur la substance blanche :</w:t>
      </w:r>
      <w:r w:rsidR="006F0569">
        <w:br/>
      </w:r>
      <w:r>
        <w:t>Les études en imagerie du tenseur de diffusion (ITD) sur la substance blanche (SB) ont donné des résultats hétérogènes, ne montrant pas de changement constant de l'anisotropie fractionnelle (AF). Ces incohérences pourraient être dues aux limites de l'ITD face à la complexité des fibres. Des modèles de diffusion plus avancés sont nécessaires.</w:t>
      </w:r>
    </w:p>
    <w:p w14:paraId="445DA884" w14:textId="729382C0" w:rsidR="002F6F8C" w:rsidRDefault="29931951" w:rsidP="70A224F4">
      <w:r w:rsidRPr="70A224F4">
        <w:rPr>
          <w:b/>
          <w:bCs/>
        </w:rPr>
        <w:t>Résumé sur les marqueurs en neuro-imagerie :</w:t>
      </w:r>
      <w:r w:rsidR="006F0569">
        <w:br/>
      </w:r>
      <w:r>
        <w:t xml:space="preserve">La recherche en neuro-imagerie a considérablement avancé la compréhension des </w:t>
      </w:r>
      <w:r>
        <w:lastRenderedPageBreak/>
        <w:t>effets longitudinaux de l'ECT, en particulier sur la MG. Il est crucial de distinguer les changements cliniquement pertinents de ceux qui ne le sont pas, et de différencier les médiateurs de l'amélioration dépressive de ceux des effets cognitifs. La complexité et le coût de ces méthodes limitent leur utilisation en routine clinique.</w:t>
      </w:r>
    </w:p>
    <w:p w14:paraId="2F18A21F" w14:textId="5E9C399D" w:rsidR="002F6F8C" w:rsidRDefault="29931951" w:rsidP="70A224F4">
      <w:pPr>
        <w:pStyle w:val="Titre1"/>
      </w:pPr>
      <w:r>
        <w:t>Conclusion</w:t>
      </w:r>
    </w:p>
    <w:p w14:paraId="66BE5024" w14:textId="5F71B93E" w:rsidR="002F6F8C" w:rsidRDefault="29931951" w:rsidP="70A224F4">
      <w:r>
        <w:t>L'efficacité de l'ECT dans la dépression est influencée par divers marqueurs cliniques et biologiques. Sur le plan clinique, les patients plus âgés présentant des symptômes psychotiques et/ou psychomoteurs répondent généralement favorablement, tandis que les patients plus jeunes avec des comorbidités et un épisode prolongé en bénéficient moins. Le sous-type inflammatoire de la dépression semble particulièrement sensible à l'ECT. Les études de neuro-imagerie montrent des changements structurels, reflets de processus neuroplastiques, possiblement nécessaires à l'effet thérapeutique.</w:t>
      </w:r>
    </w:p>
    <w:p w14:paraId="1DE5E3DB" w14:textId="11F880BA" w:rsidR="002F6F8C" w:rsidRDefault="29931951" w:rsidP="70A224F4">
      <w:r>
        <w:t xml:space="preserve">Des liens commencent à être établis entre ces différents niveaux : des taux d'inflammation de base plus élevés sont associés à une meilleure réponse, le ralentissement psychomoteur est lié à l'inflammation périphérique, et les changements immunitaires pourraient être associés aux augmentations de volume hippocampique. Cependant, un modèle unifié fait défaut en raison de l'hétérogénéité des échantillons et des méthodes. À l'heure actuelle, aucun biomarqueur n'est utilisable en pratique clinique pour guider les décisions. À l'avenir, des études de puissance adéquate, combinant une caractérisation clinique </w:t>
      </w:r>
      <w:bookmarkStart w:id="0" w:name="_GoBack"/>
      <w:r>
        <w:t xml:space="preserve">approfondie </w:t>
      </w:r>
      <w:bookmarkEnd w:id="0"/>
      <w:r>
        <w:t>et des marqueurs multimodaux, devraient permettre d'identifier des sous-groupes de patients et d'aboutir à une prédiction fiable de la réponse individuelle.</w:t>
      </w:r>
    </w:p>
    <w:p w14:paraId="46DA667C" w14:textId="72793BEB" w:rsidR="002F6F8C" w:rsidRDefault="002F6F8C" w:rsidP="70A224F4"/>
    <w:p w14:paraId="3BB55A03" w14:textId="28C86E6E" w:rsidR="002F6F8C" w:rsidRDefault="002F6F8C" w:rsidP="70A224F4"/>
    <w:p w14:paraId="0D4D4380" w14:textId="75460190" w:rsidR="002F6F8C" w:rsidRDefault="741919AC" w:rsidP="70A224F4">
      <w:pPr>
        <w:jc w:val="right"/>
        <w:rPr>
          <w:color w:val="47D459" w:themeColor="accent3" w:themeTint="99"/>
        </w:rPr>
      </w:pPr>
      <w:r w:rsidRPr="70A224F4">
        <w:rPr>
          <w:color w:val="47D459" w:themeColor="accent3" w:themeTint="99"/>
        </w:rPr>
        <w:t>Dr Issam Outaik</w:t>
      </w:r>
      <w:r w:rsidR="006F0569">
        <w:br/>
      </w:r>
      <w:r w:rsidR="4BBEEE7A" w:rsidRPr="70A224F4">
        <w:rPr>
          <w:color w:val="47D459" w:themeColor="accent3" w:themeTint="99"/>
        </w:rPr>
        <w:t>Centre psychiatrique universitaire Agadir</w:t>
      </w:r>
      <w:r w:rsidR="006F0569">
        <w:br/>
      </w:r>
      <w:r w:rsidR="05C28D77" w:rsidRPr="70A224F4">
        <w:rPr>
          <w:color w:val="47D459" w:themeColor="accent3" w:themeTint="99"/>
        </w:rPr>
        <w:t>Février 2026</w:t>
      </w:r>
    </w:p>
    <w:p w14:paraId="3BFEFB25" w14:textId="2C3BFB01" w:rsidR="002F6F8C" w:rsidRDefault="002F6F8C"/>
    <w:sectPr w:rsidR="002F6F8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LydLuJ2WM8k39n" int2:id="Hm1OI8XN">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EC2692"/>
    <w:rsid w:val="002F6F8C"/>
    <w:rsid w:val="00355A03"/>
    <w:rsid w:val="006F0569"/>
    <w:rsid w:val="00FF0354"/>
    <w:rsid w:val="03E5F99F"/>
    <w:rsid w:val="05C28D77"/>
    <w:rsid w:val="0616AD93"/>
    <w:rsid w:val="07C87DE8"/>
    <w:rsid w:val="1BCDA458"/>
    <w:rsid w:val="233681D2"/>
    <w:rsid w:val="29931951"/>
    <w:rsid w:val="39EC2692"/>
    <w:rsid w:val="43642EF3"/>
    <w:rsid w:val="464724EB"/>
    <w:rsid w:val="4BBEEE7A"/>
    <w:rsid w:val="57AC5BD4"/>
    <w:rsid w:val="6266681D"/>
    <w:rsid w:val="6341EC58"/>
    <w:rsid w:val="6933404F"/>
    <w:rsid w:val="70A224F4"/>
    <w:rsid w:val="741919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2692"/>
  <w15:chartTrackingRefBased/>
  <w15:docId w15:val="{2DBBA708-FDBD-4845-8253-2736B15C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rsid w:val="70A22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3">
    <w:name w:val="heading 3"/>
    <w:basedOn w:val="Normal"/>
    <w:next w:val="Normal"/>
    <w:uiPriority w:val="9"/>
    <w:unhideWhenUsed/>
    <w:qFormat/>
    <w:rsid w:val="70A224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uiPriority w:val="9"/>
    <w:unhideWhenUsed/>
    <w:qFormat/>
    <w:rsid w:val="70A224F4"/>
    <w:pPr>
      <w:keepNext/>
      <w:keepLines/>
      <w:spacing w:before="80" w:after="40"/>
      <w:outlineLvl w:val="3"/>
    </w:pPr>
    <w:rPr>
      <w:rFonts w:eastAsiaTheme="majorEastAsia" w:cstheme="majorBidi"/>
      <w:i/>
      <w:iCs/>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70A224F4"/>
    <w:pPr>
      <w:spacing w:after="80" w:line="240" w:lineRule="auto"/>
      <w:contextualSpacing/>
    </w:pPr>
    <w:rPr>
      <w:rFonts w:asciiTheme="majorHAnsi" w:eastAsiaTheme="majorEastAsia" w:hAnsiTheme="majorHAnsi" w:cstheme="majorBidi"/>
      <w:sz w:val="56"/>
      <w:szCs w:val="56"/>
    </w:rPr>
  </w:style>
  <w:style w:type="paragraph" w:styleId="Paragraphedeliste">
    <w:name w:val="List Paragraph"/>
    <w:basedOn w:val="Normal"/>
    <w:uiPriority w:val="34"/>
    <w:qFormat/>
    <w:rsid w:val="70A22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41f54e0c078f4c90"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1663</Words>
  <Characters>9485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Outaik</dc:creator>
  <cp:keywords/>
  <dc:description/>
  <cp:lastModifiedBy>pc</cp:lastModifiedBy>
  <cp:revision>3</cp:revision>
  <dcterms:created xsi:type="dcterms:W3CDTF">2026-02-25T20:58:00Z</dcterms:created>
  <dcterms:modified xsi:type="dcterms:W3CDTF">2026-02-26T22:06:00Z</dcterms:modified>
</cp:coreProperties>
</file>