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1EB" w:rsidRDefault="009971E3" w:rsidP="007151EB">
      <w:pPr>
        <w:spacing w:before="240" w:line="360" w:lineRule="auto"/>
        <w:jc w:val="center"/>
        <w:outlineLvl w:val="0"/>
        <w:rPr>
          <w:b/>
          <w:sz w:val="32"/>
          <w:szCs w:val="32"/>
        </w:rPr>
      </w:pPr>
      <w:r w:rsidRPr="009971E3">
        <w:rPr>
          <w:b/>
          <w:sz w:val="32"/>
          <w:szCs w:val="32"/>
        </w:rPr>
        <w:t>Est-il temps pour les services de santé mentale d'investir dans la neurostimulation ? Évaluation économique des thérapies par stimulation magnétique transcrânienne pour le traitement de la dépression modérée à sévère résistante au traitement au Royaume-Uni</w:t>
      </w:r>
    </w:p>
    <w:p w:rsidR="00725EC1" w:rsidRPr="007151EB" w:rsidRDefault="009971E3" w:rsidP="009971E3">
      <w:pPr>
        <w:pStyle w:val="Titre1"/>
        <w:spacing w:before="240" w:beforeAutospacing="0" w:after="0" w:afterAutospacing="0" w:line="360" w:lineRule="auto"/>
        <w:ind w:left="360"/>
        <w:jc w:val="both"/>
        <w:rPr>
          <w:rStyle w:val="lev"/>
          <w:rFonts w:asciiTheme="majorBidi" w:hAnsiTheme="majorBidi" w:cstheme="majorBidi"/>
          <w:b/>
          <w:bCs/>
          <w:sz w:val="24"/>
          <w:szCs w:val="24"/>
          <w:u w:val="single"/>
        </w:rPr>
      </w:pPr>
      <w:r>
        <w:rPr>
          <w:noProof/>
          <w:lang w:val="en-GB" w:eastAsia="en-GB"/>
        </w:rPr>
        <w:drawing>
          <wp:inline distT="0" distB="0" distL="0" distR="0" wp14:anchorId="48447720" wp14:editId="31E570A7">
            <wp:extent cx="6836869" cy="1898650"/>
            <wp:effectExtent l="0" t="0" r="254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40710" cy="1899717"/>
                    </a:xfrm>
                    <a:prstGeom prst="rect">
                      <a:avLst/>
                    </a:prstGeom>
                  </pic:spPr>
                </pic:pic>
              </a:graphicData>
            </a:graphic>
          </wp:inline>
        </w:drawing>
      </w:r>
      <w:r w:rsidR="00725EC1" w:rsidRPr="007151EB">
        <w:rPr>
          <w:rStyle w:val="lev"/>
          <w:rFonts w:asciiTheme="majorBidi" w:hAnsiTheme="majorBidi" w:cstheme="majorBidi"/>
          <w:b/>
          <w:bCs/>
          <w:sz w:val="24"/>
          <w:szCs w:val="24"/>
          <w:u w:val="single"/>
        </w:rPr>
        <w:t>CONTEXTE</w:t>
      </w:r>
      <w:r w:rsidR="00E33E5B" w:rsidRPr="007151EB">
        <w:rPr>
          <w:rStyle w:val="lev"/>
          <w:rFonts w:asciiTheme="majorBidi" w:hAnsiTheme="majorBidi" w:cstheme="majorBidi"/>
          <w:b/>
          <w:bCs/>
          <w:sz w:val="24"/>
          <w:szCs w:val="24"/>
          <w:u w:val="single"/>
        </w:rPr>
        <w:t xml:space="preserve"> </w:t>
      </w:r>
      <w:r w:rsidR="00EA7BE6" w:rsidRPr="007151EB">
        <w:rPr>
          <w:rStyle w:val="lev"/>
          <w:rFonts w:asciiTheme="majorBidi" w:hAnsiTheme="majorBidi" w:cstheme="majorBidi"/>
          <w:b/>
          <w:bCs/>
          <w:sz w:val="24"/>
          <w:szCs w:val="24"/>
          <w:u w:val="single"/>
        </w:rPr>
        <w:t>:</w:t>
      </w:r>
    </w:p>
    <w:p w:rsid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Les troubles dépressifs figurent parmi les principales causes de handicap dans le monde et devraient devenir la première cause de morbidité d’ici 2030. Le fardeau est particulièrement important chez les personnes atteintes de dépression résistante au traitement (TRD), caractérisée par l’absence d’amélioration malgré au moins deux traitements non psychologiques. Ces patients présentent des coûts de soins plus élevés et une qualité de vie nettement dégradée.</w:t>
      </w:r>
    </w:p>
    <w:p w:rsidR="00725EC1" w:rsidRPr="00E33E5B" w:rsidRDefault="00725EC1" w:rsidP="00FE2127">
      <w:pPr>
        <w:pStyle w:val="NormalWeb"/>
        <w:spacing w:before="240" w:beforeAutospacing="0" w:after="0" w:afterAutospacing="0" w:line="360" w:lineRule="auto"/>
        <w:jc w:val="both"/>
        <w:rPr>
          <w:rStyle w:val="relative"/>
          <w:rFonts w:asciiTheme="majorBidi" w:hAnsiTheme="majorBidi" w:cstheme="majorBidi"/>
        </w:rPr>
      </w:pPr>
      <w:r w:rsidRPr="00E33E5B">
        <w:rPr>
          <w:rFonts w:asciiTheme="majorBidi" w:hAnsiTheme="majorBidi" w:cstheme="majorBidi"/>
        </w:rPr>
        <w:t xml:space="preserve">Les thérapies par stimulation magnétique transcrânienne (TMS), telles que rTMS et iTBS, sont reconnues comme sûres et efficaces pour réduire les symptômes dépressifs. </w:t>
      </w:r>
      <w:r w:rsidR="00E33E5B">
        <w:rPr>
          <w:rFonts w:asciiTheme="majorBidi" w:hAnsiTheme="majorBidi" w:cstheme="majorBidi"/>
        </w:rPr>
        <w:t>Néanmoins, m</w:t>
      </w:r>
      <w:r w:rsidRPr="00E33E5B">
        <w:rPr>
          <w:rFonts w:asciiTheme="majorBidi" w:hAnsiTheme="majorBidi" w:cstheme="majorBidi"/>
        </w:rPr>
        <w:t xml:space="preserve">algré l’approbation par la </w:t>
      </w:r>
      <w:r w:rsidRPr="00E33E5B">
        <w:rPr>
          <w:rStyle w:val="whitespace-normal"/>
          <w:rFonts w:asciiTheme="majorBidi" w:hAnsiTheme="majorBidi" w:cstheme="majorBidi"/>
          <w:b/>
          <w:bCs/>
        </w:rPr>
        <w:t>NICE</w:t>
      </w:r>
      <w:r w:rsidRPr="00E33E5B">
        <w:rPr>
          <w:rFonts w:asciiTheme="majorBidi" w:hAnsiTheme="majorBidi" w:cstheme="majorBidi"/>
        </w:rPr>
        <w:t xml:space="preserve"> en 2015, l’accès en services publics reste limité, notamment faute de preuves économiques solides adaptées au contexte du Royaume-Uni. L’étude vise donc à combler cette lacune en évaluant l’efficacité économique de ces approches dans les services de santé mentale britanniques.</w:t>
      </w:r>
    </w:p>
    <w:p w:rsidR="00725EC1" w:rsidRPr="00E33E5B" w:rsidRDefault="00725EC1" w:rsidP="009971E3">
      <w:pPr>
        <w:pStyle w:val="Titre1"/>
        <w:spacing w:before="240" w:beforeAutospacing="0" w:after="0" w:afterAutospacing="0" w:line="360" w:lineRule="auto"/>
        <w:ind w:left="360"/>
        <w:jc w:val="both"/>
        <w:rPr>
          <w:rStyle w:val="lev"/>
          <w:rFonts w:asciiTheme="majorBidi" w:hAnsiTheme="majorBidi" w:cstheme="majorBidi"/>
          <w:b/>
          <w:bCs/>
          <w:sz w:val="24"/>
          <w:szCs w:val="24"/>
          <w:u w:val="single"/>
        </w:rPr>
      </w:pPr>
      <w:r w:rsidRPr="00E33E5B">
        <w:rPr>
          <w:rStyle w:val="lev"/>
          <w:rFonts w:asciiTheme="majorBidi" w:hAnsiTheme="majorBidi" w:cstheme="majorBidi"/>
          <w:b/>
          <w:bCs/>
          <w:sz w:val="24"/>
          <w:szCs w:val="24"/>
          <w:u w:val="single"/>
        </w:rPr>
        <w:t>OBJECTIF</w:t>
      </w:r>
      <w:r w:rsidR="00E33E5B" w:rsidRPr="00E33E5B">
        <w:rPr>
          <w:rStyle w:val="lev"/>
          <w:rFonts w:asciiTheme="majorBidi" w:hAnsiTheme="majorBidi" w:cstheme="majorBidi"/>
          <w:b/>
          <w:bCs/>
          <w:sz w:val="24"/>
          <w:szCs w:val="24"/>
          <w:u w:val="single"/>
        </w:rPr>
        <w:t xml:space="preserve"> </w:t>
      </w:r>
      <w:r w:rsidR="00EA7BE6" w:rsidRPr="00E33E5B">
        <w:rPr>
          <w:rStyle w:val="lev"/>
          <w:rFonts w:asciiTheme="majorBidi" w:hAnsiTheme="majorBidi" w:cstheme="majorBidi"/>
          <w:b/>
          <w:bCs/>
          <w:sz w:val="24"/>
          <w:szCs w:val="24"/>
          <w:u w:val="single"/>
        </w:rPr>
        <w:t>:</w:t>
      </w:r>
    </w:p>
    <w:p w:rsidR="00725EC1" w:rsidRPr="00E33E5B" w:rsidRDefault="00E33E5B" w:rsidP="00FE2127">
      <w:pPr>
        <w:pStyle w:val="NormalWeb"/>
        <w:spacing w:before="240" w:beforeAutospacing="0" w:after="0" w:afterAutospacing="0" w:line="360" w:lineRule="auto"/>
        <w:jc w:val="both"/>
        <w:rPr>
          <w:rStyle w:val="relative"/>
          <w:rFonts w:asciiTheme="majorBidi" w:hAnsiTheme="majorBidi" w:cstheme="majorBidi"/>
        </w:rPr>
      </w:pPr>
      <w:r>
        <w:rPr>
          <w:rFonts w:asciiTheme="majorBidi" w:hAnsiTheme="majorBidi" w:cstheme="majorBidi"/>
        </w:rPr>
        <w:t>Évaluer le rapport coût-efficacité du</w:t>
      </w:r>
      <w:r w:rsidR="00725EC1" w:rsidRPr="00E33E5B">
        <w:rPr>
          <w:rFonts w:asciiTheme="majorBidi" w:hAnsiTheme="majorBidi" w:cstheme="majorBidi"/>
        </w:rPr>
        <w:t xml:space="preserve"> rTMS et iTBS par rapport au traitement habituel (TAU) dans la TRD modérée à sévère, et déterminer les conditions organisationnelles rendant ces interventions économiquement viables.</w:t>
      </w:r>
    </w:p>
    <w:p w:rsidR="00667EF5" w:rsidRPr="00E33E5B" w:rsidRDefault="00725EC1" w:rsidP="009971E3">
      <w:pPr>
        <w:pStyle w:val="Titre1"/>
        <w:spacing w:before="240" w:beforeAutospacing="0" w:after="0" w:afterAutospacing="0" w:line="360" w:lineRule="auto"/>
        <w:ind w:left="360"/>
        <w:jc w:val="both"/>
        <w:rPr>
          <w:rStyle w:val="lev"/>
          <w:rFonts w:asciiTheme="majorBidi" w:hAnsiTheme="majorBidi" w:cstheme="majorBidi"/>
          <w:b/>
          <w:bCs/>
          <w:sz w:val="24"/>
          <w:szCs w:val="24"/>
          <w:u w:val="single"/>
        </w:rPr>
      </w:pPr>
      <w:r w:rsidRPr="00E33E5B">
        <w:rPr>
          <w:rStyle w:val="lev"/>
          <w:rFonts w:asciiTheme="majorBidi" w:hAnsiTheme="majorBidi" w:cstheme="majorBidi"/>
          <w:b/>
          <w:bCs/>
          <w:sz w:val="24"/>
          <w:szCs w:val="24"/>
          <w:u w:val="single"/>
        </w:rPr>
        <w:t>MÉTHODES</w:t>
      </w:r>
      <w:r w:rsidR="00EA7BE6" w:rsidRPr="00E33E5B">
        <w:rPr>
          <w:rStyle w:val="lev"/>
          <w:rFonts w:asciiTheme="majorBidi" w:hAnsiTheme="majorBidi" w:cstheme="majorBidi"/>
          <w:b/>
          <w:bCs/>
          <w:sz w:val="24"/>
          <w:szCs w:val="24"/>
          <w:u w:val="single"/>
        </w:rPr>
        <w:t>:</w:t>
      </w:r>
    </w:p>
    <w:p w:rsidR="00725EC1" w:rsidRPr="00E33E5B" w:rsidRDefault="00725EC1" w:rsidP="009971E3">
      <w:pPr>
        <w:pStyle w:val="Titre1"/>
        <w:spacing w:before="240" w:beforeAutospacing="0" w:after="0" w:afterAutospacing="0" w:line="360" w:lineRule="auto"/>
        <w:ind w:left="360"/>
        <w:jc w:val="both"/>
        <w:rPr>
          <w:rFonts w:asciiTheme="majorBidi" w:hAnsiTheme="majorBidi" w:cstheme="majorBidi"/>
          <w:sz w:val="24"/>
          <w:szCs w:val="24"/>
        </w:rPr>
      </w:pPr>
      <w:r w:rsidRPr="00E33E5B">
        <w:rPr>
          <w:rStyle w:val="lev"/>
          <w:rFonts w:asciiTheme="majorBidi" w:hAnsiTheme="majorBidi" w:cstheme="majorBidi"/>
          <w:b/>
          <w:bCs/>
          <w:sz w:val="24"/>
          <w:szCs w:val="24"/>
          <w:u w:val="single"/>
        </w:rPr>
        <w:lastRenderedPageBreak/>
        <w:t>Population étudiée</w:t>
      </w:r>
      <w:r w:rsidR="00EA7BE6" w:rsidRPr="00E33E5B">
        <w:rPr>
          <w:rStyle w:val="lev"/>
          <w:rFonts w:asciiTheme="majorBidi" w:hAnsiTheme="majorBidi" w:cstheme="majorBidi"/>
          <w:b/>
          <w:bCs/>
          <w:sz w:val="24"/>
          <w:szCs w:val="24"/>
          <w:u w:val="single"/>
        </w:rPr>
        <w:t>:</w:t>
      </w:r>
    </w:p>
    <w:p w:rsidR="00725EC1" w:rsidRPr="00E33E5B" w:rsidRDefault="00725EC1" w:rsidP="00FE2127">
      <w:pPr>
        <w:pStyle w:val="NormalWeb"/>
        <w:spacing w:before="240" w:beforeAutospacing="0" w:after="0" w:afterAutospacing="0" w:line="360" w:lineRule="auto"/>
        <w:jc w:val="both"/>
        <w:rPr>
          <w:rStyle w:val="relative"/>
          <w:rFonts w:asciiTheme="majorBidi" w:hAnsiTheme="majorBidi" w:cstheme="majorBidi"/>
        </w:rPr>
      </w:pPr>
      <w:r w:rsidRPr="00E33E5B">
        <w:rPr>
          <w:rFonts w:asciiTheme="majorBidi" w:hAnsiTheme="majorBidi" w:cstheme="majorBidi"/>
        </w:rPr>
        <w:t>L’étude concerne des adultes n’ayant jamais reçu de TMS, souffrant d’une TRD modérée à sévère selon l’échelle Hamilton (HDRS), et présentant un historique d’échec thérapeutique à au moins deux traitements non psychologiques.</w:t>
      </w:r>
    </w:p>
    <w:p w:rsidR="00725EC1" w:rsidRPr="00E33E5B" w:rsidRDefault="00725EC1" w:rsidP="00FE2127">
      <w:pPr>
        <w:pStyle w:val="Titre1"/>
        <w:numPr>
          <w:ilvl w:val="1"/>
          <w:numId w:val="20"/>
        </w:numPr>
        <w:spacing w:before="240" w:beforeAutospacing="0" w:after="0" w:afterAutospacing="0" w:line="360" w:lineRule="auto"/>
        <w:jc w:val="both"/>
        <w:rPr>
          <w:rStyle w:val="lev"/>
          <w:rFonts w:asciiTheme="majorBidi" w:hAnsiTheme="majorBidi" w:cstheme="majorBidi"/>
          <w:b/>
          <w:bCs/>
          <w:sz w:val="24"/>
          <w:szCs w:val="24"/>
          <w:u w:val="single"/>
        </w:rPr>
      </w:pPr>
      <w:r w:rsidRPr="00E33E5B">
        <w:rPr>
          <w:rStyle w:val="lev"/>
          <w:rFonts w:asciiTheme="majorBidi" w:hAnsiTheme="majorBidi" w:cstheme="majorBidi"/>
          <w:b/>
          <w:bCs/>
          <w:sz w:val="24"/>
          <w:szCs w:val="24"/>
          <w:u w:val="single"/>
        </w:rPr>
        <w:t>Sources de données</w:t>
      </w:r>
      <w:r w:rsidR="00EA7BE6" w:rsidRPr="00E33E5B">
        <w:rPr>
          <w:rStyle w:val="lev"/>
          <w:rFonts w:asciiTheme="majorBidi" w:hAnsiTheme="majorBidi" w:cstheme="majorBidi"/>
          <w:b/>
          <w:bCs/>
          <w:sz w:val="24"/>
          <w:szCs w:val="24"/>
          <w:u w:val="single"/>
        </w:rPr>
        <w:t>:</w:t>
      </w:r>
    </w:p>
    <w:p w:rsidR="00725EC1"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Trois sources principales alimentent le modèle économique :</w:t>
      </w:r>
    </w:p>
    <w:p w:rsidR="00725EC1" w:rsidRPr="00E33E5B" w:rsidRDefault="00725EC1" w:rsidP="009971E3">
      <w:pPr>
        <w:pStyle w:val="NormalWeb"/>
        <w:spacing w:before="240" w:beforeAutospacing="0" w:after="0" w:afterAutospacing="0" w:line="360" w:lineRule="auto"/>
        <w:ind w:left="720"/>
        <w:jc w:val="both"/>
        <w:rPr>
          <w:rFonts w:asciiTheme="majorBidi" w:hAnsiTheme="majorBidi" w:cstheme="majorBidi"/>
        </w:rPr>
      </w:pPr>
      <w:r w:rsidRPr="00E33E5B">
        <w:rPr>
          <w:rStyle w:val="lev"/>
          <w:rFonts w:asciiTheme="majorBidi" w:hAnsiTheme="majorBidi" w:cstheme="majorBidi"/>
        </w:rPr>
        <w:t>BRIGHTMIND</w:t>
      </w:r>
      <w:r w:rsidRPr="00E33E5B">
        <w:rPr>
          <w:rFonts w:asciiTheme="majorBidi" w:hAnsiTheme="majorBidi" w:cstheme="majorBidi"/>
        </w:rPr>
        <w:t xml:space="preserve"> : étude comparant iTBS guidé par neuro-navigation et rTMS standard.</w:t>
      </w:r>
    </w:p>
    <w:p w:rsidR="00725EC1" w:rsidRPr="00E33E5B" w:rsidRDefault="00725EC1" w:rsidP="009971E3">
      <w:pPr>
        <w:pStyle w:val="NormalWeb"/>
        <w:spacing w:before="240" w:beforeAutospacing="0" w:after="0" w:afterAutospacing="0" w:line="360" w:lineRule="auto"/>
        <w:ind w:left="720"/>
        <w:jc w:val="both"/>
        <w:rPr>
          <w:rFonts w:asciiTheme="majorBidi" w:hAnsiTheme="majorBidi" w:cstheme="majorBidi"/>
        </w:rPr>
      </w:pPr>
      <w:r w:rsidRPr="00E33E5B">
        <w:rPr>
          <w:rStyle w:val="lev"/>
          <w:rFonts w:asciiTheme="majorBidi" w:hAnsiTheme="majorBidi" w:cstheme="majorBidi"/>
        </w:rPr>
        <w:t>SMD</w:t>
      </w:r>
      <w:r w:rsidRPr="00E33E5B">
        <w:rPr>
          <w:rFonts w:asciiTheme="majorBidi" w:hAnsiTheme="majorBidi" w:cstheme="majorBidi"/>
        </w:rPr>
        <w:t xml:space="preserve"> : premier essai multicentrique britannique fournissant les trajectoires cliniques sous TAU.</w:t>
      </w:r>
    </w:p>
    <w:p w:rsidR="00725EC1" w:rsidRPr="00E33E5B" w:rsidRDefault="00725EC1" w:rsidP="009971E3">
      <w:pPr>
        <w:pStyle w:val="NormalWeb"/>
        <w:spacing w:before="240" w:beforeAutospacing="0" w:after="0" w:afterAutospacing="0" w:line="360" w:lineRule="auto"/>
        <w:ind w:left="720"/>
        <w:jc w:val="both"/>
        <w:rPr>
          <w:rFonts w:asciiTheme="majorBidi" w:hAnsiTheme="majorBidi" w:cstheme="majorBidi"/>
        </w:rPr>
      </w:pPr>
      <w:r w:rsidRPr="00E33E5B">
        <w:rPr>
          <w:rStyle w:val="lev"/>
          <w:rFonts w:asciiTheme="majorBidi" w:hAnsiTheme="majorBidi" w:cstheme="majorBidi"/>
        </w:rPr>
        <w:t>Structured Expert Elicitation (SEE)</w:t>
      </w:r>
      <w:r w:rsidRPr="00E33E5B">
        <w:rPr>
          <w:rFonts w:asciiTheme="majorBidi" w:hAnsiTheme="majorBidi" w:cstheme="majorBidi"/>
        </w:rPr>
        <w:t xml:space="preserve"> : estimation du maintien des effets TMS, de la progression sous TAU, et des coûts opérationnels d’implantation.</w:t>
      </w:r>
    </w:p>
    <w:p w:rsidR="00725EC1" w:rsidRPr="00E33E5B" w:rsidRDefault="00725EC1" w:rsidP="00FE2127">
      <w:pPr>
        <w:pStyle w:val="NormalWeb"/>
        <w:spacing w:before="240" w:beforeAutospacing="0" w:after="0" w:afterAutospacing="0" w:line="360" w:lineRule="auto"/>
        <w:jc w:val="both"/>
        <w:rPr>
          <w:rStyle w:val="relative"/>
          <w:rFonts w:asciiTheme="majorBidi" w:hAnsiTheme="majorBidi" w:cstheme="majorBidi"/>
        </w:rPr>
      </w:pPr>
      <w:r w:rsidRPr="00E33E5B">
        <w:rPr>
          <w:rFonts w:asciiTheme="majorBidi" w:hAnsiTheme="majorBidi" w:cstheme="majorBidi"/>
        </w:rPr>
        <w:t>Ces données permettent de reconstruire les évolutions cliniques et économiques des différentes stratégies thérapeutiques.</w:t>
      </w:r>
    </w:p>
    <w:p w:rsidR="00725EC1" w:rsidRPr="00E33E5B" w:rsidRDefault="00725EC1" w:rsidP="009971E3">
      <w:pPr>
        <w:pStyle w:val="Titre1"/>
        <w:spacing w:before="240" w:beforeAutospacing="0" w:after="0" w:afterAutospacing="0" w:line="360" w:lineRule="auto"/>
        <w:ind w:left="792"/>
        <w:jc w:val="both"/>
        <w:rPr>
          <w:rStyle w:val="lev"/>
          <w:rFonts w:asciiTheme="majorBidi" w:hAnsiTheme="majorBidi" w:cstheme="majorBidi"/>
          <w:b/>
          <w:bCs/>
          <w:sz w:val="24"/>
          <w:szCs w:val="24"/>
          <w:u w:val="single"/>
        </w:rPr>
      </w:pPr>
      <w:r w:rsidRPr="00E33E5B">
        <w:rPr>
          <w:rStyle w:val="lev"/>
          <w:rFonts w:asciiTheme="majorBidi" w:hAnsiTheme="majorBidi" w:cstheme="majorBidi"/>
          <w:b/>
          <w:bCs/>
          <w:sz w:val="24"/>
          <w:szCs w:val="24"/>
          <w:u w:val="single"/>
        </w:rPr>
        <w:t>Modèle décisionnel</w:t>
      </w:r>
      <w:r w:rsidR="00EA7BE6" w:rsidRPr="00E33E5B">
        <w:rPr>
          <w:rStyle w:val="lev"/>
          <w:rFonts w:asciiTheme="majorBidi" w:hAnsiTheme="majorBidi" w:cstheme="majorBidi"/>
          <w:b/>
          <w:bCs/>
          <w:sz w:val="24"/>
          <w:szCs w:val="24"/>
          <w:u w:val="single"/>
        </w:rPr>
        <w:t>:</w:t>
      </w:r>
    </w:p>
    <w:p w:rsidR="00140640"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Le modèle Markov comprend quatre états de sévérité (rémission, léger, modéré, sévère), plus un état absorbant de décès. Les cycles durent deux semaines, sur un horizon de 18 mois, avec actualisation à 3,5 %.</w:t>
      </w:r>
    </w:p>
    <w:p w:rsidR="00725EC1" w:rsidRPr="00E33E5B" w:rsidRDefault="00EA7BE6"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L'r</w:t>
      </w:r>
      <w:r w:rsidR="00725EC1" w:rsidRPr="00E33E5B">
        <w:rPr>
          <w:rFonts w:asciiTheme="majorBidi" w:hAnsiTheme="majorBidi" w:cstheme="majorBidi"/>
        </w:rPr>
        <w:t xml:space="preserve">TMS et </w:t>
      </w:r>
      <w:r w:rsidRPr="00E33E5B">
        <w:rPr>
          <w:rFonts w:asciiTheme="majorBidi" w:hAnsiTheme="majorBidi" w:cstheme="majorBidi"/>
        </w:rPr>
        <w:t>l'</w:t>
      </w:r>
      <w:r w:rsidR="00725EC1" w:rsidRPr="00E33E5B">
        <w:rPr>
          <w:rFonts w:asciiTheme="majorBidi" w:hAnsiTheme="majorBidi" w:cstheme="majorBidi"/>
        </w:rPr>
        <w:t>iTBS sont considérés comme des adjuvants au TAU, leurs bénéfices cliniques étant reflétés uniquement par les changements d’état dépressif. Ce choix permet une modélisation plus fine que les modèles « réponse/rémission » traditionnels.</w:t>
      </w:r>
    </w:p>
    <w:p w:rsidR="00725EC1" w:rsidRPr="00E33E5B" w:rsidRDefault="00725EC1" w:rsidP="009971E3">
      <w:pPr>
        <w:pStyle w:val="Titre1"/>
        <w:spacing w:before="240" w:beforeAutospacing="0" w:after="0" w:afterAutospacing="0" w:line="360" w:lineRule="auto"/>
        <w:ind w:left="792"/>
        <w:jc w:val="both"/>
        <w:rPr>
          <w:rStyle w:val="lev"/>
          <w:rFonts w:asciiTheme="majorBidi" w:hAnsiTheme="majorBidi" w:cstheme="majorBidi"/>
          <w:b/>
          <w:bCs/>
          <w:sz w:val="24"/>
          <w:szCs w:val="24"/>
          <w:u w:val="single"/>
        </w:rPr>
      </w:pPr>
      <w:r w:rsidRPr="00E33E5B">
        <w:rPr>
          <w:rStyle w:val="lev"/>
          <w:rFonts w:asciiTheme="majorBidi" w:hAnsiTheme="majorBidi" w:cstheme="majorBidi"/>
          <w:b/>
          <w:bCs/>
          <w:sz w:val="24"/>
          <w:szCs w:val="24"/>
          <w:u w:val="single"/>
        </w:rPr>
        <w:t>Transitions entre états</w:t>
      </w:r>
      <w:r w:rsidR="00EA7BE6" w:rsidRPr="00E33E5B">
        <w:rPr>
          <w:rStyle w:val="lev"/>
          <w:rFonts w:asciiTheme="majorBidi" w:hAnsiTheme="majorBidi" w:cstheme="majorBidi"/>
          <w:b/>
          <w:bCs/>
          <w:sz w:val="24"/>
          <w:szCs w:val="24"/>
          <w:u w:val="single"/>
        </w:rPr>
        <w:t>:</w:t>
      </w:r>
    </w:p>
    <w:p w:rsidR="00725EC1"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Les transitions TAU proviennent du bras « usual care » du SMD. Les transitions pour rTMS et iTBS dérivent des mesures HDRS de BRIGHTMIND (jusqu’à 26 semaines).</w:t>
      </w:r>
      <w:r w:rsidRPr="00E33E5B">
        <w:rPr>
          <w:rFonts w:asciiTheme="majorBidi" w:hAnsiTheme="majorBidi" w:cstheme="majorBidi"/>
        </w:rPr>
        <w:br/>
        <w:t>Au-delà de 6 mois, le maintien de l’effet est basé sur le SEE, avec scénarios optimistes et pessimistes.</w:t>
      </w:r>
      <w:r w:rsidRPr="00E33E5B">
        <w:rPr>
          <w:rFonts w:asciiTheme="majorBidi" w:hAnsiTheme="majorBidi" w:cstheme="majorBidi"/>
        </w:rPr>
        <w:br/>
        <w:t>Les risques de mortalité sont ajustés selon les données populationnelles et les risques accrus associés à la dépression sévère.</w:t>
      </w:r>
    </w:p>
    <w:p w:rsidR="00725EC1" w:rsidRPr="00E33E5B" w:rsidRDefault="00725EC1" w:rsidP="009971E3">
      <w:pPr>
        <w:pStyle w:val="Titre1"/>
        <w:spacing w:before="240" w:beforeAutospacing="0" w:after="0" w:afterAutospacing="0" w:line="360" w:lineRule="auto"/>
        <w:ind w:left="792"/>
        <w:jc w:val="both"/>
        <w:rPr>
          <w:rStyle w:val="lev"/>
          <w:rFonts w:asciiTheme="majorBidi" w:hAnsiTheme="majorBidi" w:cstheme="majorBidi"/>
          <w:b/>
          <w:bCs/>
          <w:sz w:val="24"/>
          <w:szCs w:val="24"/>
          <w:u w:val="single"/>
        </w:rPr>
      </w:pPr>
      <w:r w:rsidRPr="00E33E5B">
        <w:rPr>
          <w:rStyle w:val="lev"/>
          <w:rFonts w:asciiTheme="majorBidi" w:hAnsiTheme="majorBidi" w:cstheme="majorBidi"/>
          <w:b/>
          <w:bCs/>
          <w:sz w:val="24"/>
          <w:szCs w:val="24"/>
          <w:u w:val="single"/>
        </w:rPr>
        <w:t>Coûts</w:t>
      </w:r>
      <w:r w:rsidR="00EA7BE6" w:rsidRPr="00E33E5B">
        <w:rPr>
          <w:rStyle w:val="lev"/>
          <w:rFonts w:asciiTheme="majorBidi" w:hAnsiTheme="majorBidi" w:cstheme="majorBidi"/>
          <w:b/>
          <w:bCs/>
          <w:sz w:val="24"/>
          <w:szCs w:val="24"/>
          <w:u w:val="single"/>
        </w:rPr>
        <w:t>:</w:t>
      </w:r>
    </w:p>
    <w:p w:rsidR="00725EC1"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lastRenderedPageBreak/>
        <w:t>L’analyse inclut :</w:t>
      </w:r>
    </w:p>
    <w:p w:rsidR="00725EC1" w:rsidRPr="00E33E5B" w:rsidRDefault="00725EC1" w:rsidP="00FE2127">
      <w:pPr>
        <w:pStyle w:val="NormalWeb"/>
        <w:numPr>
          <w:ilvl w:val="0"/>
          <w:numId w:val="5"/>
        </w:numPr>
        <w:spacing w:before="240" w:beforeAutospacing="0" w:after="0" w:afterAutospacing="0" w:line="360" w:lineRule="auto"/>
        <w:jc w:val="both"/>
        <w:rPr>
          <w:rFonts w:asciiTheme="majorBidi" w:hAnsiTheme="majorBidi" w:cstheme="majorBidi"/>
        </w:rPr>
      </w:pPr>
      <w:r w:rsidRPr="00E33E5B">
        <w:rPr>
          <w:rStyle w:val="lev"/>
          <w:rFonts w:asciiTheme="majorBidi" w:hAnsiTheme="majorBidi" w:cstheme="majorBidi"/>
        </w:rPr>
        <w:t>coûts de santé (NHS/PSS)</w:t>
      </w:r>
      <w:r w:rsidRPr="00E33E5B">
        <w:rPr>
          <w:rFonts w:asciiTheme="majorBidi" w:hAnsiTheme="majorBidi" w:cstheme="majorBidi"/>
        </w:rPr>
        <w:t xml:space="preserve"> : équipement TMS, consommables, imagerie (pour iTBS), temps de personnel, formation ;</w:t>
      </w:r>
    </w:p>
    <w:p w:rsidR="00EA7BE6" w:rsidRPr="00E33E5B" w:rsidRDefault="00725EC1" w:rsidP="00FE2127">
      <w:pPr>
        <w:pStyle w:val="NormalWeb"/>
        <w:numPr>
          <w:ilvl w:val="0"/>
          <w:numId w:val="5"/>
        </w:numPr>
        <w:spacing w:before="240" w:beforeAutospacing="0" w:after="0" w:afterAutospacing="0" w:line="360" w:lineRule="auto"/>
        <w:jc w:val="both"/>
        <w:rPr>
          <w:rFonts w:asciiTheme="majorBidi" w:hAnsiTheme="majorBidi" w:cstheme="majorBidi"/>
        </w:rPr>
      </w:pPr>
      <w:r w:rsidRPr="00E33E5B">
        <w:rPr>
          <w:rStyle w:val="lev"/>
          <w:rFonts w:asciiTheme="majorBidi" w:hAnsiTheme="majorBidi" w:cstheme="majorBidi"/>
        </w:rPr>
        <w:t>coûts indirects</w:t>
      </w:r>
      <w:r w:rsidRPr="00E33E5B">
        <w:rPr>
          <w:rFonts w:asciiTheme="majorBidi" w:hAnsiTheme="majorBidi" w:cstheme="majorBidi"/>
        </w:rPr>
        <w:t xml:space="preserve"> : productivité, heures d’aide informelle.</w:t>
      </w:r>
    </w:p>
    <w:p w:rsidR="00725EC1"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Les coûts d’état clinique proviennent d’analyses des données SMD. Les coûts d’intervention tiennent compte de l’amortissement du matériel et du nombre moyen de patients traités par machine.</w:t>
      </w:r>
    </w:p>
    <w:p w:rsidR="00725EC1" w:rsidRPr="00E33E5B" w:rsidRDefault="00725EC1" w:rsidP="009971E3">
      <w:pPr>
        <w:pStyle w:val="Titre1"/>
        <w:spacing w:before="240" w:beforeAutospacing="0" w:after="0" w:afterAutospacing="0" w:line="360" w:lineRule="auto"/>
        <w:ind w:left="792"/>
        <w:jc w:val="both"/>
        <w:rPr>
          <w:rStyle w:val="lev"/>
          <w:rFonts w:asciiTheme="majorBidi" w:hAnsiTheme="majorBidi" w:cstheme="majorBidi"/>
          <w:b/>
          <w:bCs/>
          <w:sz w:val="24"/>
          <w:szCs w:val="24"/>
          <w:u w:val="single"/>
        </w:rPr>
      </w:pPr>
      <w:r w:rsidRPr="00E33E5B">
        <w:rPr>
          <w:rStyle w:val="lev"/>
          <w:rFonts w:asciiTheme="majorBidi" w:hAnsiTheme="majorBidi" w:cstheme="majorBidi"/>
          <w:b/>
          <w:bCs/>
          <w:sz w:val="24"/>
          <w:szCs w:val="24"/>
          <w:u w:val="single"/>
        </w:rPr>
        <w:t>Mesures de résultats</w:t>
      </w:r>
      <w:r w:rsidR="00EA7BE6" w:rsidRPr="00E33E5B">
        <w:rPr>
          <w:rStyle w:val="lev"/>
          <w:rFonts w:asciiTheme="majorBidi" w:hAnsiTheme="majorBidi" w:cstheme="majorBidi"/>
          <w:b/>
          <w:bCs/>
          <w:sz w:val="24"/>
          <w:szCs w:val="24"/>
          <w:u w:val="single"/>
        </w:rPr>
        <w:t>:</w:t>
      </w:r>
    </w:p>
    <w:p w:rsidR="00725EC1"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Les résultats principaux sont les QALYs</w:t>
      </w:r>
      <w:r w:rsidR="00140640" w:rsidRPr="00E33E5B">
        <w:rPr>
          <w:rFonts w:asciiTheme="majorBidi" w:hAnsiTheme="majorBidi" w:cstheme="majorBidi"/>
        </w:rPr>
        <w:t xml:space="preserve"> </w:t>
      </w:r>
      <w:r w:rsidR="00140640" w:rsidRPr="00E33E5B">
        <w:rPr>
          <w:rFonts w:asciiTheme="majorBidi" w:hAnsiTheme="majorBidi" w:cstheme="majorBidi"/>
          <w:shd w:val="clear" w:color="auto" w:fill="FFFFFF"/>
        </w:rPr>
        <w:t>(Quality-Adjusted Life Years = années de vie ajustées par la qualité)</w:t>
      </w:r>
      <w:r w:rsidRPr="00E33E5B">
        <w:rPr>
          <w:rFonts w:asciiTheme="majorBidi" w:hAnsiTheme="majorBidi" w:cstheme="majorBidi"/>
        </w:rPr>
        <w:t>, dérivés des utilités observées dans BRIGHTMIND (analyse principale). Les heures d’aide informelle et les pertes de productivité sont intégrées dans la perspective sociétale.</w:t>
      </w:r>
    </w:p>
    <w:p w:rsidR="00725EC1" w:rsidRPr="00E33E5B" w:rsidRDefault="00725EC1" w:rsidP="009971E3">
      <w:pPr>
        <w:pStyle w:val="Titre1"/>
        <w:spacing w:before="240" w:beforeAutospacing="0" w:after="0" w:afterAutospacing="0" w:line="360" w:lineRule="auto"/>
        <w:ind w:left="792"/>
        <w:jc w:val="both"/>
        <w:rPr>
          <w:rStyle w:val="lev"/>
          <w:rFonts w:asciiTheme="majorBidi" w:hAnsiTheme="majorBidi" w:cstheme="majorBidi"/>
          <w:b/>
          <w:bCs/>
          <w:sz w:val="24"/>
          <w:szCs w:val="24"/>
          <w:u w:val="single"/>
        </w:rPr>
      </w:pPr>
      <w:r w:rsidRPr="00E33E5B">
        <w:rPr>
          <w:rStyle w:val="lev"/>
          <w:rFonts w:asciiTheme="majorBidi" w:hAnsiTheme="majorBidi" w:cstheme="majorBidi"/>
          <w:b/>
          <w:bCs/>
          <w:sz w:val="24"/>
          <w:szCs w:val="24"/>
          <w:u w:val="single"/>
        </w:rPr>
        <w:t>Analyse</w:t>
      </w:r>
      <w:r w:rsidR="00140640" w:rsidRPr="00E33E5B">
        <w:rPr>
          <w:rStyle w:val="lev"/>
          <w:rFonts w:asciiTheme="majorBidi" w:hAnsiTheme="majorBidi" w:cstheme="majorBidi"/>
          <w:b/>
          <w:bCs/>
          <w:sz w:val="24"/>
          <w:szCs w:val="24"/>
          <w:u w:val="single"/>
        </w:rPr>
        <w:t>:</w:t>
      </w:r>
    </w:p>
    <w:p w:rsidR="00140640"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 xml:space="preserve">Les ICER </w:t>
      </w:r>
      <w:r w:rsidR="00140640" w:rsidRPr="00E33E5B">
        <w:rPr>
          <w:rFonts w:asciiTheme="majorBidi" w:hAnsiTheme="majorBidi" w:cstheme="majorBidi"/>
        </w:rPr>
        <w:t xml:space="preserve">(incremental cost-effectiveness ratios = ratios d'efficacité-coût différentiels) </w:t>
      </w:r>
      <w:r w:rsidRPr="00E33E5B">
        <w:rPr>
          <w:rFonts w:asciiTheme="majorBidi" w:hAnsiTheme="majorBidi" w:cstheme="majorBidi"/>
        </w:rPr>
        <w:t>sont évalués selon les seuils NICE (£20k–£30k/QALY). Toutes les analyses reposent sur des simulations Monte Carlo (5000 itérations).</w:t>
      </w:r>
    </w:p>
    <w:p w:rsidR="00725EC1"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Des scénarios testent l’influence :</w:t>
      </w:r>
    </w:p>
    <w:p w:rsidR="00725EC1" w:rsidRPr="00E33E5B" w:rsidRDefault="00725EC1" w:rsidP="00FE2127">
      <w:pPr>
        <w:pStyle w:val="NormalWeb"/>
        <w:numPr>
          <w:ilvl w:val="0"/>
          <w:numId w:val="6"/>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du maintien des effets TMS,</w:t>
      </w:r>
    </w:p>
    <w:p w:rsidR="00725EC1" w:rsidRPr="00E33E5B" w:rsidRDefault="00725EC1" w:rsidP="00FE2127">
      <w:pPr>
        <w:pStyle w:val="NormalWeb"/>
        <w:numPr>
          <w:ilvl w:val="0"/>
          <w:numId w:val="6"/>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de différentes définitions du TAU,</w:t>
      </w:r>
    </w:p>
    <w:p w:rsidR="00725EC1" w:rsidRPr="00E33E5B" w:rsidRDefault="00725EC1" w:rsidP="00FE2127">
      <w:pPr>
        <w:pStyle w:val="NormalWeb"/>
        <w:numPr>
          <w:ilvl w:val="0"/>
          <w:numId w:val="6"/>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des coûts de délivrance,</w:t>
      </w:r>
    </w:p>
    <w:p w:rsidR="00140640" w:rsidRPr="00E33E5B" w:rsidRDefault="00725EC1" w:rsidP="00FE2127">
      <w:pPr>
        <w:pStyle w:val="NormalWeb"/>
        <w:numPr>
          <w:ilvl w:val="0"/>
          <w:numId w:val="6"/>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des méthodes de calcul des coûts indirects.</w:t>
      </w:r>
    </w:p>
    <w:p w:rsidR="00725EC1" w:rsidRPr="00E33E5B" w:rsidRDefault="00725EC1" w:rsidP="00FE2127">
      <w:pPr>
        <w:pStyle w:val="NormalWeb"/>
        <w:spacing w:before="240" w:beforeAutospacing="0" w:after="0" w:afterAutospacing="0" w:line="360" w:lineRule="auto"/>
        <w:jc w:val="both"/>
        <w:rPr>
          <w:rStyle w:val="relative"/>
          <w:rFonts w:asciiTheme="majorBidi" w:hAnsiTheme="majorBidi" w:cstheme="majorBidi"/>
        </w:rPr>
      </w:pPr>
      <w:r w:rsidRPr="00E33E5B">
        <w:rPr>
          <w:rFonts w:asciiTheme="majorBidi" w:hAnsiTheme="majorBidi" w:cstheme="majorBidi"/>
        </w:rPr>
        <w:t>Une analyse de sensibilité opérationnelle examine l’impact du temps par séance, du nombre de sessions et du débit annuel des machines.</w:t>
      </w:r>
    </w:p>
    <w:p w:rsidR="00725EC1" w:rsidRPr="00E33E5B" w:rsidRDefault="00725EC1" w:rsidP="009971E3">
      <w:pPr>
        <w:pStyle w:val="Titre1"/>
        <w:spacing w:before="240" w:beforeAutospacing="0" w:after="0" w:afterAutospacing="0" w:line="360" w:lineRule="auto"/>
        <w:jc w:val="both"/>
        <w:rPr>
          <w:rStyle w:val="lev"/>
          <w:rFonts w:asciiTheme="majorBidi" w:hAnsiTheme="majorBidi" w:cstheme="majorBidi"/>
          <w:b/>
          <w:bCs/>
          <w:sz w:val="24"/>
          <w:szCs w:val="24"/>
          <w:u w:val="single"/>
        </w:rPr>
      </w:pPr>
      <w:r w:rsidRPr="00E33E5B">
        <w:rPr>
          <w:rStyle w:val="lev"/>
          <w:rFonts w:asciiTheme="majorBidi" w:hAnsiTheme="majorBidi" w:cstheme="majorBidi"/>
          <w:b/>
          <w:bCs/>
          <w:sz w:val="24"/>
          <w:szCs w:val="24"/>
          <w:u w:val="single"/>
        </w:rPr>
        <w:t>RÉSULTATS</w:t>
      </w:r>
      <w:r w:rsidR="00140640" w:rsidRPr="00E33E5B">
        <w:rPr>
          <w:rStyle w:val="lev"/>
          <w:rFonts w:asciiTheme="majorBidi" w:hAnsiTheme="majorBidi" w:cstheme="majorBidi"/>
          <w:b/>
          <w:bCs/>
          <w:sz w:val="24"/>
          <w:szCs w:val="24"/>
          <w:u w:val="single"/>
        </w:rPr>
        <w:t>:</w:t>
      </w:r>
    </w:p>
    <w:p w:rsidR="00725EC1" w:rsidRPr="00E33E5B" w:rsidRDefault="00725EC1" w:rsidP="009971E3">
      <w:pPr>
        <w:pStyle w:val="Titre1"/>
        <w:spacing w:before="240" w:beforeAutospacing="0" w:after="0" w:afterAutospacing="0" w:line="360" w:lineRule="auto"/>
        <w:jc w:val="both"/>
        <w:rPr>
          <w:rStyle w:val="lev"/>
          <w:rFonts w:asciiTheme="majorBidi" w:hAnsiTheme="majorBidi" w:cstheme="majorBidi"/>
          <w:b/>
          <w:bCs/>
          <w:sz w:val="24"/>
          <w:szCs w:val="24"/>
          <w:u w:val="single"/>
        </w:rPr>
      </w:pPr>
      <w:r w:rsidRPr="00E33E5B">
        <w:rPr>
          <w:rStyle w:val="lev"/>
          <w:rFonts w:asciiTheme="majorBidi" w:hAnsiTheme="majorBidi" w:cstheme="majorBidi"/>
          <w:b/>
          <w:bCs/>
          <w:sz w:val="24"/>
          <w:szCs w:val="24"/>
          <w:u w:val="single"/>
        </w:rPr>
        <w:t>Résultats du SEE</w:t>
      </w:r>
      <w:r w:rsidR="00140640" w:rsidRPr="00E33E5B">
        <w:rPr>
          <w:rStyle w:val="lev"/>
          <w:rFonts w:asciiTheme="majorBidi" w:hAnsiTheme="majorBidi" w:cstheme="majorBidi"/>
          <w:b/>
          <w:bCs/>
          <w:sz w:val="24"/>
          <w:szCs w:val="24"/>
          <w:u w:val="single"/>
        </w:rPr>
        <w:t>:</w:t>
      </w:r>
    </w:p>
    <w:p w:rsidR="00140640"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Les experts s’accordent sur une cure d’environ 27 séances de 30 minutes, avec un maintien de l’amélioration principalement durant les 6 à 12 mois suivant le traitement, puis un déclin graduel jusqu’à 18 mois.</w:t>
      </w:r>
    </w:p>
    <w:p w:rsidR="00725EC1" w:rsidRPr="00E33E5B" w:rsidRDefault="00725EC1" w:rsidP="00FE2127">
      <w:pPr>
        <w:pStyle w:val="NormalWeb"/>
        <w:spacing w:before="240" w:beforeAutospacing="0" w:after="0" w:afterAutospacing="0" w:line="360" w:lineRule="auto"/>
        <w:jc w:val="both"/>
        <w:rPr>
          <w:rStyle w:val="relative"/>
          <w:rFonts w:asciiTheme="majorBidi" w:hAnsiTheme="majorBidi" w:cstheme="majorBidi"/>
        </w:rPr>
      </w:pPr>
      <w:r w:rsidRPr="00E33E5B">
        <w:rPr>
          <w:rFonts w:asciiTheme="majorBidi" w:hAnsiTheme="majorBidi" w:cstheme="majorBidi"/>
        </w:rPr>
        <w:lastRenderedPageBreak/>
        <w:t>Ils confirment la faisabilité technique de la TMS et fournissent les estimations opérationnelles utilisées pour modéliser les coûts.</w:t>
      </w:r>
    </w:p>
    <w:p w:rsidR="00E33E5B" w:rsidRDefault="00725EC1" w:rsidP="009971E3">
      <w:pPr>
        <w:pStyle w:val="Titre1"/>
        <w:spacing w:before="240" w:beforeAutospacing="0" w:after="0" w:afterAutospacing="0" w:line="360" w:lineRule="auto"/>
        <w:jc w:val="both"/>
        <w:rPr>
          <w:rStyle w:val="lev"/>
          <w:rFonts w:asciiTheme="majorBidi" w:hAnsiTheme="majorBidi" w:cstheme="majorBidi"/>
          <w:b/>
          <w:bCs/>
          <w:sz w:val="24"/>
          <w:szCs w:val="24"/>
          <w:u w:val="single"/>
        </w:rPr>
      </w:pPr>
      <w:r w:rsidRPr="00E33E5B">
        <w:rPr>
          <w:rStyle w:val="lev"/>
          <w:rFonts w:asciiTheme="majorBidi" w:hAnsiTheme="majorBidi" w:cstheme="majorBidi"/>
          <w:b/>
          <w:bCs/>
          <w:sz w:val="24"/>
          <w:szCs w:val="24"/>
          <w:u w:val="single"/>
        </w:rPr>
        <w:t>Analyse de coût-efficacité</w:t>
      </w:r>
      <w:r w:rsidR="00140640" w:rsidRPr="00E33E5B">
        <w:rPr>
          <w:rStyle w:val="lev"/>
          <w:rFonts w:asciiTheme="majorBidi" w:hAnsiTheme="majorBidi" w:cstheme="majorBidi"/>
          <w:b/>
          <w:bCs/>
          <w:sz w:val="24"/>
          <w:szCs w:val="24"/>
          <w:u w:val="single"/>
        </w:rPr>
        <w:t>:</w:t>
      </w:r>
    </w:p>
    <w:p w:rsidR="00725EC1" w:rsidRPr="00E33E5B" w:rsidRDefault="00725EC1" w:rsidP="009971E3">
      <w:pPr>
        <w:pStyle w:val="Titre1"/>
        <w:spacing w:before="240" w:beforeAutospacing="0" w:after="0" w:afterAutospacing="0" w:line="360" w:lineRule="auto"/>
        <w:jc w:val="both"/>
        <w:rPr>
          <w:rFonts w:asciiTheme="majorBidi" w:hAnsiTheme="majorBidi" w:cstheme="majorBidi"/>
          <w:sz w:val="24"/>
          <w:szCs w:val="24"/>
          <w:u w:val="single"/>
        </w:rPr>
      </w:pPr>
      <w:r w:rsidRPr="00E33E5B">
        <w:rPr>
          <w:rStyle w:val="Accentuation"/>
          <w:rFonts w:asciiTheme="majorBidi" w:hAnsiTheme="majorBidi" w:cstheme="majorBidi"/>
          <w:sz w:val="24"/>
          <w:szCs w:val="24"/>
        </w:rPr>
        <w:t>Perspective du système de santé (NHS/PSS)</w:t>
      </w:r>
    </w:p>
    <w:p w:rsidR="00725EC1" w:rsidRPr="00E33E5B" w:rsidRDefault="00725EC1" w:rsidP="00FE2127">
      <w:pPr>
        <w:pStyle w:val="NormalWeb"/>
        <w:numPr>
          <w:ilvl w:val="0"/>
          <w:numId w:val="7"/>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 xml:space="preserve">rTMS : </w:t>
      </w:r>
      <w:r w:rsidRPr="00E33E5B">
        <w:rPr>
          <w:rStyle w:val="lev"/>
          <w:rFonts w:asciiTheme="majorBidi" w:hAnsiTheme="majorBidi" w:cstheme="majorBidi"/>
        </w:rPr>
        <w:t>ICER £12 093/QALY</w:t>
      </w:r>
      <w:r w:rsidRPr="00E33E5B">
        <w:rPr>
          <w:rFonts w:asciiTheme="majorBidi" w:hAnsiTheme="majorBidi" w:cstheme="majorBidi"/>
        </w:rPr>
        <w:t xml:space="preserve"> vs TAU</w:t>
      </w:r>
    </w:p>
    <w:p w:rsidR="00725EC1" w:rsidRPr="00E33E5B" w:rsidRDefault="00725EC1" w:rsidP="00FE2127">
      <w:pPr>
        <w:pStyle w:val="NormalWeb"/>
        <w:numPr>
          <w:ilvl w:val="0"/>
          <w:numId w:val="7"/>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 xml:space="preserve">iTBS : </w:t>
      </w:r>
      <w:r w:rsidRPr="00E33E5B">
        <w:rPr>
          <w:rStyle w:val="lev"/>
          <w:rFonts w:asciiTheme="majorBidi" w:hAnsiTheme="majorBidi" w:cstheme="majorBidi"/>
        </w:rPr>
        <w:t>ICER £12 959/QALY</w:t>
      </w:r>
      <w:r w:rsidRPr="00E33E5B">
        <w:rPr>
          <w:rFonts w:asciiTheme="majorBidi" w:hAnsiTheme="majorBidi" w:cstheme="majorBidi"/>
        </w:rPr>
        <w:t xml:space="preserve"> vs TAU</w:t>
      </w:r>
    </w:p>
    <w:p w:rsidR="00725EC1" w:rsidRPr="00E33E5B" w:rsidRDefault="00725EC1" w:rsidP="00FE2127">
      <w:pPr>
        <w:pStyle w:val="NormalWeb"/>
        <w:numPr>
          <w:ilvl w:val="0"/>
          <w:numId w:val="7"/>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 xml:space="preserve">iTBS vs rTMS : </w:t>
      </w:r>
      <w:r w:rsidRPr="00E33E5B">
        <w:rPr>
          <w:rStyle w:val="lev"/>
          <w:rFonts w:asciiTheme="majorBidi" w:hAnsiTheme="majorBidi" w:cstheme="majorBidi"/>
        </w:rPr>
        <w:t>ICER £16 621/QALY</w:t>
      </w:r>
    </w:p>
    <w:p w:rsidR="007151EB" w:rsidRDefault="00725EC1" w:rsidP="007151EB">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Les deux techniques sont en dessous des seuils NICE, donc considérées comme rentables.</w:t>
      </w:r>
    </w:p>
    <w:p w:rsidR="00725EC1" w:rsidRPr="009971E3" w:rsidRDefault="00725EC1" w:rsidP="009971E3">
      <w:pPr>
        <w:rPr>
          <w:rStyle w:val="Accentuation"/>
          <w:rFonts w:asciiTheme="majorBidi" w:eastAsia="Times New Roman" w:hAnsiTheme="majorBidi" w:cstheme="majorBidi"/>
          <w:i w:val="0"/>
          <w:iCs w:val="0"/>
          <w:sz w:val="24"/>
          <w:szCs w:val="24"/>
          <w:lang w:eastAsia="fr-FR"/>
        </w:rPr>
      </w:pPr>
      <w:r w:rsidRPr="00E33E5B">
        <w:rPr>
          <w:rStyle w:val="Accentuation"/>
          <w:rFonts w:asciiTheme="majorBidi" w:hAnsiTheme="majorBidi" w:cstheme="majorBidi"/>
          <w:sz w:val="24"/>
          <w:szCs w:val="24"/>
        </w:rPr>
        <w:t>Perspective sociétale</w:t>
      </w:r>
    </w:p>
    <w:p w:rsidR="00725EC1"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 xml:space="preserve">rTMS et iTBS </w:t>
      </w:r>
      <w:r w:rsidRPr="00C45C3D">
        <w:rPr>
          <w:b/>
          <w:bCs/>
        </w:rPr>
        <w:t>dominent TAU</w:t>
      </w:r>
      <w:r w:rsidRPr="00E33E5B">
        <w:rPr>
          <w:rFonts w:asciiTheme="majorBidi" w:hAnsiTheme="majorBidi" w:cstheme="majorBidi"/>
        </w:rPr>
        <w:t xml:space="preserve"> :</w:t>
      </w:r>
    </w:p>
    <w:p w:rsidR="00725EC1" w:rsidRPr="00E33E5B" w:rsidRDefault="00C45C3D" w:rsidP="00FE2127">
      <w:pPr>
        <w:pStyle w:val="NormalWeb"/>
        <w:numPr>
          <w:ilvl w:val="0"/>
          <w:numId w:val="8"/>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M</w:t>
      </w:r>
      <w:r w:rsidR="00725EC1" w:rsidRPr="00E33E5B">
        <w:rPr>
          <w:rFonts w:asciiTheme="majorBidi" w:hAnsiTheme="majorBidi" w:cstheme="majorBidi"/>
        </w:rPr>
        <w:t>eilleurs résultats cliniques,</w:t>
      </w:r>
    </w:p>
    <w:p w:rsidR="00725EC1" w:rsidRPr="00E33E5B" w:rsidRDefault="00C45C3D" w:rsidP="00FE2127">
      <w:pPr>
        <w:pStyle w:val="NormalWeb"/>
        <w:numPr>
          <w:ilvl w:val="0"/>
          <w:numId w:val="8"/>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C</w:t>
      </w:r>
      <w:r w:rsidR="00725EC1" w:rsidRPr="00E33E5B">
        <w:rPr>
          <w:rFonts w:asciiTheme="majorBidi" w:hAnsiTheme="majorBidi" w:cstheme="majorBidi"/>
        </w:rPr>
        <w:t>oûts totaux plus faibles,</w:t>
      </w:r>
    </w:p>
    <w:p w:rsidR="00725EC1" w:rsidRPr="00E33E5B" w:rsidRDefault="00C45C3D" w:rsidP="00FE2127">
      <w:pPr>
        <w:pStyle w:val="NormalWeb"/>
        <w:numPr>
          <w:ilvl w:val="0"/>
          <w:numId w:val="8"/>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R</w:t>
      </w:r>
      <w:r w:rsidR="00725EC1" w:rsidRPr="00E33E5B">
        <w:rPr>
          <w:rFonts w:asciiTheme="majorBidi" w:hAnsiTheme="majorBidi" w:cstheme="majorBidi"/>
        </w:rPr>
        <w:t>éduction de 28 à 34 heures d’aide informelle,</w:t>
      </w:r>
    </w:p>
    <w:p w:rsidR="00725EC1" w:rsidRPr="00E33E5B" w:rsidRDefault="00C45C3D" w:rsidP="00FE2127">
      <w:pPr>
        <w:pStyle w:val="NormalWeb"/>
        <w:numPr>
          <w:ilvl w:val="0"/>
          <w:numId w:val="8"/>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B</w:t>
      </w:r>
      <w:r w:rsidR="00725EC1" w:rsidRPr="00E33E5B">
        <w:rPr>
          <w:rFonts w:asciiTheme="majorBidi" w:hAnsiTheme="majorBidi" w:cstheme="majorBidi"/>
        </w:rPr>
        <w:t>aisse notable des pertes de productivité.</w:t>
      </w:r>
    </w:p>
    <w:p w:rsidR="00725EC1" w:rsidRPr="00E33E5B" w:rsidRDefault="00725EC1" w:rsidP="009971E3">
      <w:pPr>
        <w:pStyle w:val="Titre1"/>
        <w:spacing w:before="240" w:beforeAutospacing="0" w:after="0" w:afterAutospacing="0" w:line="360" w:lineRule="auto"/>
        <w:jc w:val="both"/>
        <w:rPr>
          <w:rStyle w:val="Accentuation"/>
          <w:rFonts w:asciiTheme="majorBidi" w:hAnsiTheme="majorBidi" w:cstheme="majorBidi"/>
          <w:sz w:val="24"/>
          <w:szCs w:val="24"/>
        </w:rPr>
      </w:pPr>
      <w:r w:rsidRPr="00E33E5B">
        <w:rPr>
          <w:rStyle w:val="Accentuation"/>
          <w:rFonts w:asciiTheme="majorBidi" w:hAnsiTheme="majorBidi" w:cstheme="majorBidi"/>
          <w:sz w:val="24"/>
          <w:szCs w:val="24"/>
        </w:rPr>
        <w:t>Sensibilité</w:t>
      </w:r>
    </w:p>
    <w:p w:rsidR="00725EC1"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La rentabilité est robuste dans la majorité des scénarios. En revanche, elle devient défavorable si :</w:t>
      </w:r>
    </w:p>
    <w:p w:rsidR="00725EC1" w:rsidRPr="00E33E5B" w:rsidRDefault="00C45C3D" w:rsidP="00FE2127">
      <w:pPr>
        <w:pStyle w:val="NormalWeb"/>
        <w:numPr>
          <w:ilvl w:val="0"/>
          <w:numId w:val="9"/>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w:t>
      </w:r>
      <w:r w:rsidR="00725EC1" w:rsidRPr="00E33E5B">
        <w:rPr>
          <w:rFonts w:asciiTheme="majorBidi" w:hAnsiTheme="majorBidi" w:cstheme="majorBidi"/>
        </w:rPr>
        <w:t>e maintien d’effet est minimal,</w:t>
      </w:r>
    </w:p>
    <w:p w:rsidR="00725EC1" w:rsidRPr="00E33E5B" w:rsidRDefault="00C45C3D" w:rsidP="00FE2127">
      <w:pPr>
        <w:pStyle w:val="NormalWeb"/>
        <w:numPr>
          <w:ilvl w:val="0"/>
          <w:numId w:val="9"/>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w:t>
      </w:r>
      <w:r w:rsidR="00725EC1" w:rsidRPr="00E33E5B">
        <w:rPr>
          <w:rFonts w:asciiTheme="majorBidi" w:hAnsiTheme="majorBidi" w:cstheme="majorBidi"/>
        </w:rPr>
        <w:t>es coûts de délivrance augmentent fortement,</w:t>
      </w:r>
    </w:p>
    <w:p w:rsidR="00725EC1" w:rsidRPr="00E33E5B" w:rsidRDefault="00C45C3D" w:rsidP="00FE2127">
      <w:pPr>
        <w:pStyle w:val="NormalWeb"/>
        <w:numPr>
          <w:ilvl w:val="0"/>
          <w:numId w:val="9"/>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w:t>
      </w:r>
      <w:r w:rsidR="00725EC1" w:rsidRPr="00E33E5B">
        <w:rPr>
          <w:rFonts w:asciiTheme="majorBidi" w:hAnsiTheme="majorBidi" w:cstheme="majorBidi"/>
        </w:rPr>
        <w:t>e</w:t>
      </w:r>
      <w:r>
        <w:rPr>
          <w:rFonts w:asciiTheme="majorBidi" w:hAnsiTheme="majorBidi" w:cstheme="majorBidi"/>
        </w:rPr>
        <w:t xml:space="preserve"> </w:t>
      </w:r>
      <w:r w:rsidR="00725EC1" w:rsidRPr="00E33E5B">
        <w:rPr>
          <w:rFonts w:asciiTheme="majorBidi" w:hAnsiTheme="majorBidi" w:cstheme="majorBidi"/>
        </w:rPr>
        <w:t>débit de patients par machine est trop faible.</w:t>
      </w:r>
    </w:p>
    <w:p w:rsidR="00725EC1" w:rsidRPr="00E33E5B" w:rsidRDefault="00725EC1" w:rsidP="00FE2127">
      <w:pPr>
        <w:pStyle w:val="NormalWeb"/>
        <w:spacing w:before="240" w:beforeAutospacing="0" w:after="0" w:afterAutospacing="0" w:line="360" w:lineRule="auto"/>
        <w:jc w:val="both"/>
        <w:rPr>
          <w:rStyle w:val="relative"/>
          <w:rFonts w:asciiTheme="majorBidi" w:hAnsiTheme="majorBidi" w:cstheme="majorBidi"/>
        </w:rPr>
      </w:pPr>
      <w:r w:rsidRPr="00E33E5B">
        <w:rPr>
          <w:rFonts w:asciiTheme="majorBidi" w:hAnsiTheme="majorBidi" w:cstheme="majorBidi"/>
        </w:rPr>
        <w:t xml:space="preserve">Le modèle montre qu’en-dessous d’environ </w:t>
      </w:r>
      <w:r w:rsidRPr="00E33E5B">
        <w:rPr>
          <w:rStyle w:val="lev"/>
          <w:rFonts w:asciiTheme="majorBidi" w:hAnsiTheme="majorBidi" w:cstheme="majorBidi"/>
        </w:rPr>
        <w:t>13 patients/an</w:t>
      </w:r>
      <w:r w:rsidRPr="00E33E5B">
        <w:rPr>
          <w:rFonts w:asciiTheme="majorBidi" w:hAnsiTheme="majorBidi" w:cstheme="majorBidi"/>
        </w:rPr>
        <w:t xml:space="preserve">, la probabilité d’être coût-efficace chute sévèrement (jusqu’à ~4 %), tandis qu’une organisation efficace peut atteindre </w:t>
      </w:r>
      <w:r w:rsidRPr="00E33E5B">
        <w:rPr>
          <w:rStyle w:val="lev"/>
          <w:rFonts w:asciiTheme="majorBidi" w:hAnsiTheme="majorBidi" w:cstheme="majorBidi"/>
        </w:rPr>
        <w:t>98 %</w:t>
      </w:r>
      <w:r w:rsidRPr="00E33E5B">
        <w:rPr>
          <w:rFonts w:asciiTheme="majorBidi" w:hAnsiTheme="majorBidi" w:cstheme="majorBidi"/>
        </w:rPr>
        <w:t>.</w:t>
      </w:r>
    </w:p>
    <w:p w:rsidR="00725EC1" w:rsidRPr="00E33E5B" w:rsidRDefault="00725EC1" w:rsidP="009971E3">
      <w:pPr>
        <w:pStyle w:val="Titre1"/>
        <w:spacing w:before="240" w:beforeAutospacing="0" w:after="0" w:afterAutospacing="0" w:line="360" w:lineRule="auto"/>
        <w:jc w:val="both"/>
        <w:rPr>
          <w:rStyle w:val="lev"/>
          <w:rFonts w:asciiTheme="majorBidi" w:hAnsiTheme="majorBidi" w:cstheme="majorBidi"/>
          <w:b/>
          <w:bCs/>
          <w:sz w:val="24"/>
          <w:szCs w:val="24"/>
          <w:u w:val="single"/>
        </w:rPr>
      </w:pPr>
      <w:r w:rsidRPr="00E33E5B">
        <w:rPr>
          <w:rStyle w:val="lev"/>
          <w:rFonts w:asciiTheme="majorBidi" w:hAnsiTheme="majorBidi" w:cstheme="majorBidi"/>
          <w:b/>
          <w:bCs/>
          <w:sz w:val="24"/>
          <w:szCs w:val="24"/>
          <w:u w:val="single"/>
        </w:rPr>
        <w:t>DISCUSSION</w:t>
      </w:r>
      <w:r w:rsidR="00140640" w:rsidRPr="00E33E5B">
        <w:rPr>
          <w:rStyle w:val="lev"/>
          <w:rFonts w:asciiTheme="majorBidi" w:hAnsiTheme="majorBidi" w:cstheme="majorBidi"/>
          <w:b/>
          <w:bCs/>
          <w:sz w:val="24"/>
          <w:szCs w:val="24"/>
          <w:u w:val="single"/>
        </w:rPr>
        <w:t>:</w:t>
      </w:r>
    </w:p>
    <w:p w:rsidR="00140640"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 xml:space="preserve">Les résultats indiquent que rTMS et iTBS apportent des bénéfices cliniques substantiels pour les patients TRD, tout en réduisant les coûts de santé, les besoins d’aide informelle et les pertes de </w:t>
      </w:r>
      <w:r w:rsidRPr="00E33E5B">
        <w:rPr>
          <w:rFonts w:asciiTheme="majorBidi" w:hAnsiTheme="majorBidi" w:cstheme="majorBidi"/>
        </w:rPr>
        <w:lastRenderedPageBreak/>
        <w:t>productivité. Les coûts initiaux sont compensés par les gains cliniques et économiques à moyen terme.</w:t>
      </w:r>
    </w:p>
    <w:p w:rsidR="00140640"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L’étude s’appuie sur deux grands essais britanniques contemporains, intégrant des données riches et un SEE rigoureux.</w:t>
      </w:r>
    </w:p>
    <w:p w:rsidR="00FE2127"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Certaines limites persistent : absence de comparaison directe TMS vs TAU dans un seul essai, incertitudes sur la durée réelle du maintien des effets, portée restreinte de la perspective sociétale, et limites de généralisation dues aux protocoles spécifiques de BRIGHTMIND.</w:t>
      </w:r>
    </w:p>
    <w:p w:rsidR="009971E3" w:rsidRDefault="009971E3" w:rsidP="009971E3">
      <w:pPr>
        <w:rPr>
          <w:rFonts w:asciiTheme="majorBidi" w:hAnsiTheme="majorBidi" w:cstheme="majorBidi"/>
        </w:rPr>
      </w:pPr>
    </w:p>
    <w:p w:rsidR="00FE2127" w:rsidRPr="009971E3" w:rsidRDefault="00725EC1" w:rsidP="009971E3">
      <w:pPr>
        <w:rPr>
          <w:rStyle w:val="lev"/>
          <w:rFonts w:asciiTheme="majorBidi" w:eastAsia="Times New Roman" w:hAnsiTheme="majorBidi" w:cstheme="majorBidi"/>
          <w:b w:val="0"/>
          <w:bCs w:val="0"/>
          <w:sz w:val="24"/>
          <w:szCs w:val="24"/>
          <w:lang w:eastAsia="fr-FR"/>
        </w:rPr>
      </w:pPr>
      <w:r w:rsidRPr="00E33E5B">
        <w:rPr>
          <w:rStyle w:val="lev"/>
          <w:rFonts w:asciiTheme="majorBidi" w:hAnsiTheme="majorBidi" w:cstheme="majorBidi"/>
          <w:sz w:val="24"/>
          <w:szCs w:val="24"/>
          <w:u w:val="single"/>
        </w:rPr>
        <w:t>IMPLICATIONS CLINIQUES</w:t>
      </w:r>
      <w:r w:rsidR="00140640" w:rsidRPr="00E33E5B">
        <w:rPr>
          <w:rStyle w:val="lev"/>
          <w:rFonts w:asciiTheme="majorBidi" w:hAnsiTheme="majorBidi" w:cstheme="majorBidi"/>
          <w:sz w:val="24"/>
          <w:szCs w:val="24"/>
          <w:u w:val="single"/>
        </w:rPr>
        <w:t>:</w:t>
      </w:r>
    </w:p>
    <w:p w:rsidR="00140640" w:rsidRP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 xml:space="preserve">La TMS constitue une option intermédiaire sûre et bien tolérée avant des traitements plus invasifs tels que l’électroconvulsivothérapie. Les résultats montrent qu’elle peut être coût-efficace si les services atteignent un </w:t>
      </w:r>
      <w:r w:rsidRPr="00E33E5B">
        <w:rPr>
          <w:rStyle w:val="lev"/>
          <w:rFonts w:asciiTheme="majorBidi" w:hAnsiTheme="majorBidi" w:cstheme="majorBidi"/>
        </w:rPr>
        <w:t>débit suffisant</w:t>
      </w:r>
      <w:r w:rsidRPr="00E33E5B">
        <w:rPr>
          <w:rFonts w:asciiTheme="majorBidi" w:hAnsiTheme="majorBidi" w:cstheme="majorBidi"/>
        </w:rPr>
        <w:t xml:space="preserve">, optimisent la </w:t>
      </w:r>
      <w:r w:rsidRPr="00E33E5B">
        <w:rPr>
          <w:rStyle w:val="lev"/>
          <w:rFonts w:asciiTheme="majorBidi" w:hAnsiTheme="majorBidi" w:cstheme="majorBidi"/>
        </w:rPr>
        <w:t>durée des séances</w:t>
      </w:r>
      <w:r w:rsidRPr="00E33E5B">
        <w:rPr>
          <w:rFonts w:asciiTheme="majorBidi" w:hAnsiTheme="majorBidi" w:cstheme="majorBidi"/>
        </w:rPr>
        <w:t xml:space="preserve"> et structurent une </w:t>
      </w:r>
      <w:r w:rsidRPr="00E33E5B">
        <w:rPr>
          <w:rStyle w:val="lev"/>
          <w:rFonts w:asciiTheme="majorBidi" w:hAnsiTheme="majorBidi" w:cstheme="majorBidi"/>
        </w:rPr>
        <w:t>organisation efficace</w:t>
      </w:r>
      <w:r w:rsidRPr="00E33E5B">
        <w:rPr>
          <w:rFonts w:asciiTheme="majorBidi" w:hAnsiTheme="majorBidi" w:cstheme="majorBidi"/>
        </w:rPr>
        <w:t xml:space="preserve"> (plages intensives, personnel formé, disponibilité des machines).</w:t>
      </w:r>
    </w:p>
    <w:p w:rsidR="00E33E5B" w:rsidRDefault="00725EC1" w:rsidP="00FE2127">
      <w:pPr>
        <w:pStyle w:val="NormalWeb"/>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Elle pourrait donc être intégrée plus largement dans les services spécialisés et communautaires, en cohérence avec les objectifs de modernisation et d’amélioration de la prise en charge de la dépression résistante.</w:t>
      </w:r>
    </w:p>
    <w:p w:rsidR="00E33E5B" w:rsidRPr="00E33E5B" w:rsidRDefault="00C45C3D" w:rsidP="009971E3">
      <w:pPr>
        <w:pStyle w:val="Titre1"/>
        <w:spacing w:before="240" w:beforeAutospacing="0" w:after="0" w:afterAutospacing="0" w:line="360" w:lineRule="auto"/>
        <w:jc w:val="both"/>
        <w:rPr>
          <w:rStyle w:val="lev"/>
          <w:rFonts w:asciiTheme="majorBidi" w:hAnsiTheme="majorBidi" w:cstheme="majorBidi"/>
          <w:b/>
          <w:bCs/>
          <w:sz w:val="24"/>
          <w:szCs w:val="24"/>
          <w:u w:val="single"/>
        </w:rPr>
      </w:pPr>
      <w:r w:rsidRPr="00E33E5B">
        <w:rPr>
          <w:rStyle w:val="lev"/>
          <w:rFonts w:asciiTheme="majorBidi" w:hAnsiTheme="majorBidi" w:cstheme="majorBidi"/>
          <w:b/>
          <w:bCs/>
          <w:sz w:val="24"/>
          <w:szCs w:val="24"/>
          <w:u w:val="single"/>
        </w:rPr>
        <w:t>POINTS CLES DE L’ARTICLE</w:t>
      </w:r>
    </w:p>
    <w:p w:rsidR="00E33E5B" w:rsidRPr="00E33E5B" w:rsidRDefault="00E33E5B" w:rsidP="00FE2127">
      <w:pPr>
        <w:pStyle w:val="Titre3"/>
        <w:numPr>
          <w:ilvl w:val="0"/>
          <w:numId w:val="23"/>
        </w:numPr>
        <w:spacing w:before="240" w:line="360" w:lineRule="auto"/>
        <w:jc w:val="both"/>
        <w:rPr>
          <w:rFonts w:asciiTheme="majorBidi" w:hAnsiTheme="majorBidi"/>
          <w:color w:val="auto"/>
          <w:sz w:val="24"/>
          <w:szCs w:val="24"/>
        </w:rPr>
      </w:pPr>
      <w:r w:rsidRPr="00E33E5B">
        <w:rPr>
          <w:rStyle w:val="lev"/>
          <w:rFonts w:asciiTheme="majorBidi" w:hAnsiTheme="majorBidi"/>
          <w:b/>
          <w:bCs/>
          <w:color w:val="auto"/>
          <w:sz w:val="24"/>
          <w:szCs w:val="24"/>
        </w:rPr>
        <w:t>La dépression résistante aux traitements est un problème majeur de santé publique</w:t>
      </w:r>
    </w:p>
    <w:p w:rsidR="00E33E5B" w:rsidRPr="00E33E5B" w:rsidRDefault="00E33E5B" w:rsidP="00FE2127">
      <w:pPr>
        <w:pStyle w:val="NormalWeb"/>
        <w:numPr>
          <w:ilvl w:val="0"/>
          <w:numId w:val="10"/>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Les troubles dépressifs sont parmi les principales causes de handicap et les patients en souffrant ont des coûts de soins plus élevés et une qualité de vie plus faible.</w:t>
      </w:r>
    </w:p>
    <w:p w:rsidR="00E33E5B" w:rsidRPr="00E33E5B" w:rsidRDefault="00E33E5B" w:rsidP="00FE2127">
      <w:pPr>
        <w:pStyle w:val="Titre3"/>
        <w:numPr>
          <w:ilvl w:val="0"/>
          <w:numId w:val="23"/>
        </w:numPr>
        <w:spacing w:before="240" w:line="360" w:lineRule="auto"/>
        <w:jc w:val="both"/>
        <w:rPr>
          <w:rStyle w:val="lev"/>
          <w:rFonts w:asciiTheme="majorBidi" w:hAnsiTheme="majorBidi"/>
          <w:b/>
          <w:bCs/>
          <w:color w:val="auto"/>
          <w:sz w:val="24"/>
          <w:szCs w:val="24"/>
        </w:rPr>
      </w:pPr>
      <w:r w:rsidRPr="00E33E5B">
        <w:rPr>
          <w:rStyle w:val="lev"/>
          <w:rFonts w:asciiTheme="majorBidi" w:hAnsiTheme="majorBidi"/>
          <w:b/>
          <w:bCs/>
          <w:color w:val="auto"/>
          <w:sz w:val="24"/>
          <w:szCs w:val="24"/>
        </w:rPr>
        <w:t>Les thérapies TMS sont efficaces mais sous-utilisées au Royaume-Uni</w:t>
      </w:r>
    </w:p>
    <w:p w:rsidR="00E33E5B" w:rsidRPr="00E33E5B" w:rsidRDefault="00E33E5B" w:rsidP="00FE2127">
      <w:pPr>
        <w:pStyle w:val="NormalWeb"/>
        <w:numPr>
          <w:ilvl w:val="0"/>
          <w:numId w:val="11"/>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rTMS et iTBS ont démontré leur efficacité et leur sécurité.</w:t>
      </w:r>
    </w:p>
    <w:p w:rsidR="00E33E5B" w:rsidRPr="00E33E5B" w:rsidRDefault="00E33E5B" w:rsidP="00FE2127">
      <w:pPr>
        <w:pStyle w:val="NormalWeb"/>
        <w:numPr>
          <w:ilvl w:val="0"/>
          <w:numId w:val="11"/>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 xml:space="preserve">Le principal frein identifié : </w:t>
      </w:r>
      <w:r w:rsidRPr="00E33E5B">
        <w:rPr>
          <w:rStyle w:val="lev"/>
          <w:rFonts w:asciiTheme="majorBidi" w:hAnsiTheme="majorBidi" w:cstheme="majorBidi"/>
        </w:rPr>
        <w:t>manque d’évaluations économiques adaptées au contexte britannique</w:t>
      </w:r>
      <w:r w:rsidRPr="00E33E5B">
        <w:rPr>
          <w:rFonts w:asciiTheme="majorBidi" w:hAnsiTheme="majorBidi" w:cstheme="majorBidi"/>
        </w:rPr>
        <w:t>.</w:t>
      </w:r>
    </w:p>
    <w:p w:rsidR="00E33E5B" w:rsidRPr="00E33E5B" w:rsidRDefault="00E33E5B" w:rsidP="00FE2127">
      <w:pPr>
        <w:pStyle w:val="Titre3"/>
        <w:numPr>
          <w:ilvl w:val="0"/>
          <w:numId w:val="23"/>
        </w:numPr>
        <w:spacing w:before="240" w:line="360" w:lineRule="auto"/>
        <w:jc w:val="both"/>
        <w:rPr>
          <w:rStyle w:val="lev"/>
          <w:rFonts w:asciiTheme="majorBidi" w:hAnsiTheme="majorBidi"/>
          <w:b/>
          <w:bCs/>
          <w:color w:val="auto"/>
          <w:sz w:val="24"/>
          <w:szCs w:val="24"/>
        </w:rPr>
      </w:pPr>
      <w:r w:rsidRPr="00E33E5B">
        <w:rPr>
          <w:rStyle w:val="lev"/>
          <w:rFonts w:asciiTheme="majorBidi" w:hAnsiTheme="majorBidi"/>
          <w:b/>
          <w:bCs/>
          <w:color w:val="auto"/>
          <w:sz w:val="24"/>
          <w:szCs w:val="24"/>
        </w:rPr>
        <w:t>L’étude réalise la première évaluation économique britannique complète de rTMS et iTBS</w:t>
      </w:r>
    </w:p>
    <w:p w:rsidR="00E33E5B" w:rsidRPr="00E33E5B" w:rsidRDefault="00E33E5B" w:rsidP="00FE2127">
      <w:pPr>
        <w:pStyle w:val="NormalWeb"/>
        <w:numPr>
          <w:ilvl w:val="0"/>
          <w:numId w:val="12"/>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Elle utilise trois sources robustes : BRIGHTMIND, SMD et un exercice d’expertise structurée.</w:t>
      </w:r>
    </w:p>
    <w:p w:rsidR="00E33E5B" w:rsidRPr="00E33E5B" w:rsidRDefault="00E33E5B" w:rsidP="00FE2127">
      <w:pPr>
        <w:pStyle w:val="NormalWeb"/>
        <w:numPr>
          <w:ilvl w:val="0"/>
          <w:numId w:val="12"/>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lastRenderedPageBreak/>
        <w:t>Elle modélise les trajectoires cliniques sur 18 mois via un modèle Markov.</w:t>
      </w:r>
    </w:p>
    <w:p w:rsidR="00E33E5B" w:rsidRPr="00E33E5B" w:rsidRDefault="00E33E5B" w:rsidP="00FE2127">
      <w:pPr>
        <w:pStyle w:val="Titre3"/>
        <w:numPr>
          <w:ilvl w:val="0"/>
          <w:numId w:val="23"/>
        </w:numPr>
        <w:spacing w:before="240" w:line="360" w:lineRule="auto"/>
        <w:jc w:val="both"/>
        <w:rPr>
          <w:rStyle w:val="lev"/>
          <w:rFonts w:asciiTheme="majorBidi" w:hAnsiTheme="majorBidi"/>
          <w:b/>
          <w:bCs/>
          <w:color w:val="auto"/>
          <w:sz w:val="24"/>
          <w:szCs w:val="24"/>
        </w:rPr>
      </w:pPr>
      <w:r w:rsidRPr="00E33E5B">
        <w:rPr>
          <w:rStyle w:val="lev"/>
          <w:rFonts w:asciiTheme="majorBidi" w:hAnsiTheme="majorBidi"/>
          <w:b/>
          <w:bCs/>
          <w:color w:val="auto"/>
          <w:sz w:val="24"/>
          <w:szCs w:val="24"/>
        </w:rPr>
        <w:t>Les deux techniques TMS améliorent la santé et réduisent certains coûts</w:t>
      </w:r>
    </w:p>
    <w:p w:rsidR="00E33E5B" w:rsidRPr="00E33E5B" w:rsidRDefault="00E33E5B" w:rsidP="00FE2127">
      <w:pPr>
        <w:pStyle w:val="NormalWeb"/>
        <w:numPr>
          <w:ilvl w:val="0"/>
          <w:numId w:val="13"/>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rTMS et iTBS conduisent à une amélioration des scores HDRS et de la qualité de vie.</w:t>
      </w:r>
    </w:p>
    <w:p w:rsidR="00E33E5B" w:rsidRPr="00E33E5B" w:rsidRDefault="00E33E5B" w:rsidP="00FE2127">
      <w:pPr>
        <w:pStyle w:val="NormalWeb"/>
        <w:numPr>
          <w:ilvl w:val="0"/>
          <w:numId w:val="13"/>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Elles réduisent l’utilisation ultérieure des services de santé.</w:t>
      </w:r>
    </w:p>
    <w:p w:rsidR="00E33E5B" w:rsidRPr="00E33E5B" w:rsidRDefault="00E33E5B" w:rsidP="00FE2127">
      <w:pPr>
        <w:pStyle w:val="Titre3"/>
        <w:numPr>
          <w:ilvl w:val="0"/>
          <w:numId w:val="23"/>
        </w:numPr>
        <w:spacing w:before="240" w:line="360" w:lineRule="auto"/>
        <w:jc w:val="both"/>
        <w:rPr>
          <w:rStyle w:val="lev"/>
          <w:rFonts w:asciiTheme="majorBidi" w:hAnsiTheme="majorBidi"/>
          <w:b/>
          <w:bCs/>
          <w:color w:val="auto"/>
          <w:sz w:val="24"/>
          <w:szCs w:val="24"/>
        </w:rPr>
      </w:pPr>
      <w:r w:rsidRPr="00E33E5B">
        <w:rPr>
          <w:rStyle w:val="lev"/>
          <w:rFonts w:asciiTheme="majorBidi" w:hAnsiTheme="majorBidi"/>
          <w:b/>
          <w:bCs/>
          <w:color w:val="auto"/>
          <w:sz w:val="24"/>
          <w:szCs w:val="24"/>
        </w:rPr>
        <w:t>Les deux techniques sont coût-efficaces vs TAU (perspective santé)</w:t>
      </w:r>
    </w:p>
    <w:p w:rsidR="00E33E5B" w:rsidRPr="00E33E5B" w:rsidRDefault="00E33E5B" w:rsidP="00FE2127">
      <w:pPr>
        <w:pStyle w:val="NormalWeb"/>
        <w:numPr>
          <w:ilvl w:val="0"/>
          <w:numId w:val="14"/>
        </w:numPr>
        <w:spacing w:before="240" w:beforeAutospacing="0" w:after="0" w:afterAutospacing="0" w:line="360" w:lineRule="auto"/>
        <w:jc w:val="both"/>
        <w:rPr>
          <w:rFonts w:asciiTheme="majorBidi" w:hAnsiTheme="majorBidi" w:cstheme="majorBidi"/>
        </w:rPr>
      </w:pPr>
      <w:r w:rsidRPr="00E33E5B">
        <w:rPr>
          <w:rStyle w:val="lev"/>
          <w:rFonts w:asciiTheme="majorBidi" w:hAnsiTheme="majorBidi" w:cstheme="majorBidi"/>
        </w:rPr>
        <w:t xml:space="preserve">rTMS : £12 093/QALY </w:t>
      </w:r>
      <w:r w:rsidRPr="00E33E5B">
        <w:rPr>
          <w:rStyle w:val="lev"/>
          <w:rFonts w:asciiTheme="majorBidi" w:hAnsiTheme="majorBidi" w:cstheme="majorBidi"/>
          <w:b w:val="0"/>
        </w:rPr>
        <w:t>-</w:t>
      </w:r>
      <w:r w:rsidRPr="00E33E5B">
        <w:rPr>
          <w:rStyle w:val="lev"/>
          <w:rFonts w:asciiTheme="majorBidi" w:hAnsiTheme="majorBidi" w:cstheme="majorBidi"/>
        </w:rPr>
        <w:t xml:space="preserve"> iTBS : £12 959/QALY</w:t>
      </w:r>
    </w:p>
    <w:p w:rsidR="00E33E5B" w:rsidRPr="00E33E5B" w:rsidRDefault="00E33E5B" w:rsidP="00FE2127">
      <w:pPr>
        <w:pStyle w:val="NormalWeb"/>
        <w:numPr>
          <w:ilvl w:val="0"/>
          <w:numId w:val="14"/>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Ces valeurs sont en dessous des seuils NICE (£20k–£30k/QALY).</w:t>
      </w:r>
    </w:p>
    <w:p w:rsidR="00E33E5B" w:rsidRPr="00E33E5B" w:rsidRDefault="00E33E5B" w:rsidP="00FE2127">
      <w:pPr>
        <w:pStyle w:val="Titre3"/>
        <w:numPr>
          <w:ilvl w:val="0"/>
          <w:numId w:val="23"/>
        </w:numPr>
        <w:spacing w:before="240" w:line="360" w:lineRule="auto"/>
        <w:jc w:val="both"/>
        <w:rPr>
          <w:rStyle w:val="lev"/>
          <w:rFonts w:asciiTheme="majorBidi" w:hAnsiTheme="majorBidi"/>
          <w:b/>
          <w:bCs/>
          <w:color w:val="auto"/>
          <w:sz w:val="24"/>
          <w:szCs w:val="24"/>
        </w:rPr>
      </w:pPr>
      <w:r w:rsidRPr="00E33E5B">
        <w:rPr>
          <w:rStyle w:val="lev"/>
          <w:rFonts w:asciiTheme="majorBidi" w:hAnsiTheme="majorBidi"/>
          <w:b/>
          <w:bCs/>
          <w:color w:val="auto"/>
          <w:sz w:val="24"/>
          <w:szCs w:val="24"/>
        </w:rPr>
        <w:t>La rentabilité dépend fortement des conditions opérationnelles</w:t>
      </w:r>
    </w:p>
    <w:p w:rsidR="00E33E5B" w:rsidRDefault="00E33E5B" w:rsidP="00FE2127">
      <w:pPr>
        <w:pStyle w:val="NormalWeb"/>
        <w:numPr>
          <w:ilvl w:val="0"/>
          <w:numId w:val="16"/>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 xml:space="preserve">TMS est très sensible au </w:t>
      </w:r>
      <w:r w:rsidRPr="00E33E5B">
        <w:rPr>
          <w:rStyle w:val="lev"/>
          <w:rFonts w:asciiTheme="majorBidi" w:hAnsiTheme="majorBidi" w:cstheme="majorBidi"/>
        </w:rPr>
        <w:t>débit de patients par machine</w:t>
      </w:r>
      <w:r w:rsidRPr="00E33E5B">
        <w:rPr>
          <w:rFonts w:asciiTheme="majorBidi" w:hAnsiTheme="majorBidi" w:cstheme="majorBidi"/>
        </w:rPr>
        <w:t xml:space="preserve">, au </w:t>
      </w:r>
      <w:r w:rsidRPr="00E33E5B">
        <w:rPr>
          <w:rStyle w:val="lev"/>
          <w:rFonts w:asciiTheme="majorBidi" w:hAnsiTheme="majorBidi" w:cstheme="majorBidi"/>
        </w:rPr>
        <w:t>temps par séance</w:t>
      </w:r>
      <w:r w:rsidRPr="00E33E5B">
        <w:rPr>
          <w:rFonts w:asciiTheme="majorBidi" w:hAnsiTheme="majorBidi" w:cstheme="majorBidi"/>
        </w:rPr>
        <w:t xml:space="preserve"> et au </w:t>
      </w:r>
      <w:r w:rsidRPr="00E33E5B">
        <w:rPr>
          <w:rStyle w:val="lev"/>
          <w:rFonts w:asciiTheme="majorBidi" w:hAnsiTheme="majorBidi" w:cstheme="majorBidi"/>
        </w:rPr>
        <w:t>nombre de sessions</w:t>
      </w:r>
      <w:r w:rsidRPr="00E33E5B">
        <w:rPr>
          <w:rFonts w:asciiTheme="majorBidi" w:hAnsiTheme="majorBidi" w:cstheme="majorBidi"/>
        </w:rPr>
        <w:t>.</w:t>
      </w:r>
    </w:p>
    <w:p w:rsidR="00E33E5B" w:rsidRPr="00E33E5B" w:rsidRDefault="00E33E5B" w:rsidP="00FE2127">
      <w:pPr>
        <w:pStyle w:val="Titre3"/>
        <w:numPr>
          <w:ilvl w:val="0"/>
          <w:numId w:val="23"/>
        </w:numPr>
        <w:spacing w:before="240" w:line="360" w:lineRule="auto"/>
        <w:jc w:val="both"/>
        <w:rPr>
          <w:rStyle w:val="lev"/>
          <w:rFonts w:asciiTheme="majorBidi" w:hAnsiTheme="majorBidi"/>
          <w:b/>
          <w:bCs/>
          <w:color w:val="auto"/>
          <w:sz w:val="24"/>
          <w:szCs w:val="24"/>
        </w:rPr>
      </w:pPr>
      <w:r w:rsidRPr="00E33E5B">
        <w:rPr>
          <w:rStyle w:val="lev"/>
          <w:rFonts w:asciiTheme="majorBidi" w:hAnsiTheme="majorBidi"/>
          <w:b/>
          <w:bCs/>
          <w:color w:val="auto"/>
          <w:sz w:val="24"/>
          <w:szCs w:val="24"/>
        </w:rPr>
        <w:t>L’étude fournit des recommandations concrètes pour les décideurs</w:t>
      </w:r>
    </w:p>
    <w:p w:rsidR="00E33E5B" w:rsidRPr="00E33E5B" w:rsidRDefault="00E33E5B" w:rsidP="00FE2127">
      <w:pPr>
        <w:pStyle w:val="NormalWeb"/>
        <w:numPr>
          <w:ilvl w:val="0"/>
          <w:numId w:val="17"/>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 xml:space="preserve">TMS peut être élargi en services publics, </w:t>
      </w:r>
      <w:r w:rsidRPr="00E33E5B">
        <w:rPr>
          <w:rStyle w:val="lev"/>
          <w:rFonts w:asciiTheme="majorBidi" w:hAnsiTheme="majorBidi" w:cstheme="majorBidi"/>
        </w:rPr>
        <w:t>à condition d’être délivré à grande échelle et avec efficacité organisationnelle</w:t>
      </w:r>
      <w:r w:rsidRPr="00E33E5B">
        <w:rPr>
          <w:rFonts w:asciiTheme="majorBidi" w:hAnsiTheme="majorBidi" w:cstheme="majorBidi"/>
        </w:rPr>
        <w:t>. ainsi que l’étude offre une base économique solide pour guider la planification et l’allocation des ressources.</w:t>
      </w:r>
    </w:p>
    <w:p w:rsidR="00E33E5B" w:rsidRPr="00E33E5B" w:rsidRDefault="00E33E5B" w:rsidP="009971E3">
      <w:pPr>
        <w:pStyle w:val="Titre3"/>
        <w:spacing w:before="240" w:line="360" w:lineRule="auto"/>
        <w:ind w:left="360"/>
        <w:jc w:val="both"/>
        <w:rPr>
          <w:rStyle w:val="lev"/>
          <w:rFonts w:asciiTheme="majorBidi" w:hAnsiTheme="majorBidi"/>
          <w:b/>
          <w:bCs/>
          <w:color w:val="auto"/>
          <w:sz w:val="24"/>
          <w:szCs w:val="24"/>
        </w:rPr>
      </w:pPr>
      <w:r w:rsidRPr="00E33E5B">
        <w:rPr>
          <w:rStyle w:val="lev"/>
          <w:rFonts w:asciiTheme="majorBidi" w:hAnsiTheme="majorBidi"/>
          <w:b/>
          <w:bCs/>
          <w:color w:val="auto"/>
          <w:sz w:val="24"/>
          <w:szCs w:val="24"/>
        </w:rPr>
        <w:t>Limites principales</w:t>
      </w:r>
    </w:p>
    <w:p w:rsidR="00E33E5B" w:rsidRPr="00E33E5B" w:rsidRDefault="00E33E5B" w:rsidP="00FE2127">
      <w:pPr>
        <w:pStyle w:val="NormalWeb"/>
        <w:numPr>
          <w:ilvl w:val="0"/>
          <w:numId w:val="18"/>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Absence de comparaison directe TMS vs TAU dans un même essai randomisé.</w:t>
      </w:r>
    </w:p>
    <w:p w:rsidR="00E33E5B" w:rsidRPr="00E33E5B" w:rsidRDefault="00E33E5B" w:rsidP="00FE2127">
      <w:pPr>
        <w:pStyle w:val="NormalWeb"/>
        <w:numPr>
          <w:ilvl w:val="0"/>
          <w:numId w:val="18"/>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Incertitude sur la durée réelle du maintien de l’effet.</w:t>
      </w:r>
    </w:p>
    <w:p w:rsidR="00140640" w:rsidRPr="009971E3" w:rsidRDefault="00E33E5B" w:rsidP="009971E3">
      <w:pPr>
        <w:pStyle w:val="NormalWeb"/>
        <w:numPr>
          <w:ilvl w:val="0"/>
          <w:numId w:val="18"/>
        </w:numPr>
        <w:spacing w:before="240" w:beforeAutospacing="0" w:after="0" w:afterAutospacing="0" w:line="360" w:lineRule="auto"/>
        <w:jc w:val="both"/>
        <w:rPr>
          <w:rFonts w:asciiTheme="majorBidi" w:hAnsiTheme="majorBidi" w:cstheme="majorBidi"/>
        </w:rPr>
      </w:pPr>
      <w:r w:rsidRPr="00E33E5B">
        <w:rPr>
          <w:rFonts w:asciiTheme="majorBidi" w:hAnsiTheme="majorBidi" w:cstheme="majorBidi"/>
        </w:rPr>
        <w:t>Généralisation limitée (ex : BRIGHTMIND utilise une neuro-navigation et un protocole atypique).</w:t>
      </w:r>
    </w:p>
    <w:p w:rsidR="009971E3" w:rsidRPr="009971E3" w:rsidRDefault="009971E3" w:rsidP="009971E3">
      <w:pPr>
        <w:spacing w:before="240" w:line="360" w:lineRule="auto"/>
        <w:jc w:val="right"/>
        <w:outlineLvl w:val="0"/>
        <w:rPr>
          <w:color w:val="FF0000"/>
          <w:sz w:val="28"/>
          <w:szCs w:val="28"/>
          <w:lang w:val="en-GB"/>
        </w:rPr>
      </w:pPr>
      <w:r w:rsidRPr="009971E3">
        <w:rPr>
          <w:color w:val="FF0000"/>
          <w:sz w:val="28"/>
          <w:szCs w:val="28"/>
          <w:lang w:val="en-GB"/>
        </w:rPr>
        <w:t>Dr. BELKA Mohamed Achraf</w:t>
      </w:r>
    </w:p>
    <w:p w:rsidR="009971E3" w:rsidRPr="009971E3" w:rsidRDefault="009971E3" w:rsidP="009971E3">
      <w:pPr>
        <w:spacing w:before="240" w:line="360" w:lineRule="auto"/>
        <w:jc w:val="right"/>
        <w:outlineLvl w:val="0"/>
        <w:rPr>
          <w:color w:val="FF0000"/>
          <w:sz w:val="32"/>
          <w:szCs w:val="32"/>
          <w:lang w:val="en-GB"/>
        </w:rPr>
      </w:pPr>
      <w:r w:rsidRPr="009971E3">
        <w:rPr>
          <w:color w:val="FF0000"/>
          <w:sz w:val="32"/>
          <w:szCs w:val="32"/>
          <w:lang w:val="en-GB"/>
        </w:rPr>
        <w:t>CHU Moham</w:t>
      </w:r>
      <w:r w:rsidRPr="009971E3">
        <w:rPr>
          <w:color w:val="FF0000"/>
          <w:sz w:val="32"/>
          <w:szCs w:val="32"/>
          <w:lang w:val="en-GB"/>
        </w:rPr>
        <w:t>m</w:t>
      </w:r>
      <w:r w:rsidRPr="009971E3">
        <w:rPr>
          <w:color w:val="FF0000"/>
          <w:sz w:val="32"/>
          <w:szCs w:val="32"/>
          <w:lang w:val="en-GB"/>
        </w:rPr>
        <w:t>ed VI</w:t>
      </w:r>
      <w:r w:rsidRPr="009971E3">
        <w:rPr>
          <w:color w:val="FF0000"/>
          <w:sz w:val="32"/>
          <w:szCs w:val="32"/>
          <w:lang w:val="en-GB"/>
        </w:rPr>
        <w:t>.</w:t>
      </w:r>
      <w:r w:rsidRPr="009971E3">
        <w:rPr>
          <w:color w:val="FF0000"/>
          <w:sz w:val="32"/>
          <w:szCs w:val="32"/>
          <w:lang w:val="en-GB"/>
        </w:rPr>
        <w:t xml:space="preserve"> AGADIR</w:t>
      </w:r>
    </w:p>
    <w:p w:rsidR="009971E3" w:rsidRPr="009971E3" w:rsidRDefault="009971E3" w:rsidP="009971E3">
      <w:pPr>
        <w:spacing w:before="240" w:line="360" w:lineRule="auto"/>
        <w:jc w:val="right"/>
        <w:outlineLvl w:val="0"/>
        <w:rPr>
          <w:color w:val="FF0000"/>
          <w:sz w:val="32"/>
          <w:szCs w:val="32"/>
          <w:lang w:val="en-GB"/>
        </w:rPr>
      </w:pPr>
      <w:r w:rsidRPr="009971E3">
        <w:rPr>
          <w:color w:val="FF0000"/>
          <w:sz w:val="32"/>
          <w:szCs w:val="32"/>
          <w:lang w:val="en-GB"/>
        </w:rPr>
        <w:t>Fevri</w:t>
      </w:r>
      <w:bookmarkStart w:id="0" w:name="_GoBack"/>
      <w:bookmarkEnd w:id="0"/>
      <w:r w:rsidRPr="009971E3">
        <w:rPr>
          <w:color w:val="FF0000"/>
          <w:sz w:val="32"/>
          <w:szCs w:val="32"/>
          <w:lang w:val="en-GB"/>
        </w:rPr>
        <w:t>er 2026</w:t>
      </w:r>
    </w:p>
    <w:p w:rsidR="00140640" w:rsidRPr="009971E3" w:rsidRDefault="00140640" w:rsidP="009971E3">
      <w:pPr>
        <w:pStyle w:val="NormalWeb"/>
        <w:spacing w:before="240" w:beforeAutospacing="0" w:after="0" w:afterAutospacing="0" w:line="360" w:lineRule="auto"/>
        <w:jc w:val="right"/>
        <w:rPr>
          <w:rFonts w:asciiTheme="majorBidi" w:hAnsiTheme="majorBidi" w:cstheme="majorBidi"/>
          <w:lang w:val="en-GB"/>
        </w:rPr>
      </w:pPr>
    </w:p>
    <w:p w:rsidR="00667EF5" w:rsidRPr="009971E3" w:rsidRDefault="00667EF5" w:rsidP="00FE2127">
      <w:pPr>
        <w:pStyle w:val="NormalWeb"/>
        <w:spacing w:before="240" w:beforeAutospacing="0" w:after="0" w:afterAutospacing="0" w:line="360" w:lineRule="auto"/>
        <w:jc w:val="both"/>
        <w:rPr>
          <w:rFonts w:asciiTheme="majorBidi" w:hAnsiTheme="majorBidi" w:cstheme="majorBidi"/>
          <w:lang w:val="en-GB"/>
        </w:rPr>
      </w:pPr>
    </w:p>
    <w:p w:rsidR="00667EF5" w:rsidRPr="009971E3" w:rsidRDefault="00667EF5" w:rsidP="00FE2127">
      <w:pPr>
        <w:pStyle w:val="NormalWeb"/>
        <w:spacing w:before="240" w:beforeAutospacing="0" w:after="0" w:afterAutospacing="0" w:line="360" w:lineRule="auto"/>
        <w:jc w:val="both"/>
        <w:rPr>
          <w:rFonts w:asciiTheme="majorBidi" w:hAnsiTheme="majorBidi" w:cstheme="majorBidi"/>
          <w:lang w:val="en-GB"/>
        </w:rPr>
      </w:pPr>
    </w:p>
    <w:sectPr w:rsidR="00667EF5" w:rsidRPr="009971E3" w:rsidSect="00FE2127">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AB6" w:rsidRDefault="000E0AB6" w:rsidP="008B6C25">
      <w:pPr>
        <w:spacing w:after="0" w:line="240" w:lineRule="auto"/>
      </w:pPr>
      <w:r>
        <w:separator/>
      </w:r>
    </w:p>
  </w:endnote>
  <w:endnote w:type="continuationSeparator" w:id="0">
    <w:p w:rsidR="000E0AB6" w:rsidRDefault="000E0AB6" w:rsidP="008B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AB6" w:rsidRDefault="000E0AB6" w:rsidP="008B6C25">
      <w:pPr>
        <w:spacing w:after="0" w:line="240" w:lineRule="auto"/>
      </w:pPr>
      <w:r>
        <w:separator/>
      </w:r>
    </w:p>
  </w:footnote>
  <w:footnote w:type="continuationSeparator" w:id="0">
    <w:p w:rsidR="000E0AB6" w:rsidRDefault="000E0AB6" w:rsidP="008B6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6AEA"/>
    <w:multiLevelType w:val="multilevel"/>
    <w:tmpl w:val="B474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51D7"/>
    <w:multiLevelType w:val="multilevel"/>
    <w:tmpl w:val="F02C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24C30"/>
    <w:multiLevelType w:val="multilevel"/>
    <w:tmpl w:val="08AE3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A05C2"/>
    <w:multiLevelType w:val="multilevel"/>
    <w:tmpl w:val="22AA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54477"/>
    <w:multiLevelType w:val="multilevel"/>
    <w:tmpl w:val="0014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821DF"/>
    <w:multiLevelType w:val="multilevel"/>
    <w:tmpl w:val="1A7C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F7DF4"/>
    <w:multiLevelType w:val="hybridMultilevel"/>
    <w:tmpl w:val="18A26A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987466"/>
    <w:multiLevelType w:val="multilevel"/>
    <w:tmpl w:val="816C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0055A"/>
    <w:multiLevelType w:val="multilevel"/>
    <w:tmpl w:val="EC14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2108A"/>
    <w:multiLevelType w:val="multilevel"/>
    <w:tmpl w:val="629C5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2C355D"/>
    <w:multiLevelType w:val="multilevel"/>
    <w:tmpl w:val="E012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F5028"/>
    <w:multiLevelType w:val="hybridMultilevel"/>
    <w:tmpl w:val="D846AA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944ADB"/>
    <w:multiLevelType w:val="multilevel"/>
    <w:tmpl w:val="FEE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172A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2712C5"/>
    <w:multiLevelType w:val="multilevel"/>
    <w:tmpl w:val="8D4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433C5"/>
    <w:multiLevelType w:val="multilevel"/>
    <w:tmpl w:val="9FEEE6C8"/>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153E1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CC1699"/>
    <w:multiLevelType w:val="hybridMultilevel"/>
    <w:tmpl w:val="4C0A8B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143248"/>
    <w:multiLevelType w:val="multilevel"/>
    <w:tmpl w:val="6ECA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C117FA"/>
    <w:multiLevelType w:val="multilevel"/>
    <w:tmpl w:val="137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9912DA"/>
    <w:multiLevelType w:val="multilevel"/>
    <w:tmpl w:val="B9B2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595AB0"/>
    <w:multiLevelType w:val="multilevel"/>
    <w:tmpl w:val="A31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FC6DBE"/>
    <w:multiLevelType w:val="multilevel"/>
    <w:tmpl w:val="E1C4B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20496"/>
    <w:multiLevelType w:val="multilevel"/>
    <w:tmpl w:val="4C78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2"/>
  </w:num>
  <w:num w:numId="4">
    <w:abstractNumId w:val="9"/>
  </w:num>
  <w:num w:numId="5">
    <w:abstractNumId w:val="0"/>
  </w:num>
  <w:num w:numId="6">
    <w:abstractNumId w:val="18"/>
  </w:num>
  <w:num w:numId="7">
    <w:abstractNumId w:val="3"/>
  </w:num>
  <w:num w:numId="8">
    <w:abstractNumId w:val="7"/>
  </w:num>
  <w:num w:numId="9">
    <w:abstractNumId w:val="23"/>
  </w:num>
  <w:num w:numId="10">
    <w:abstractNumId w:val="1"/>
  </w:num>
  <w:num w:numId="11">
    <w:abstractNumId w:val="14"/>
  </w:num>
  <w:num w:numId="12">
    <w:abstractNumId w:val="19"/>
  </w:num>
  <w:num w:numId="13">
    <w:abstractNumId w:val="5"/>
  </w:num>
  <w:num w:numId="14">
    <w:abstractNumId w:val="20"/>
  </w:num>
  <w:num w:numId="15">
    <w:abstractNumId w:val="22"/>
  </w:num>
  <w:num w:numId="16">
    <w:abstractNumId w:val="10"/>
  </w:num>
  <w:num w:numId="17">
    <w:abstractNumId w:val="8"/>
  </w:num>
  <w:num w:numId="18">
    <w:abstractNumId w:val="21"/>
  </w:num>
  <w:num w:numId="19">
    <w:abstractNumId w:val="11"/>
  </w:num>
  <w:num w:numId="20">
    <w:abstractNumId w:val="16"/>
  </w:num>
  <w:num w:numId="21">
    <w:abstractNumId w:val="13"/>
  </w:num>
  <w:num w:numId="22">
    <w:abstractNumId w:val="6"/>
  </w:num>
  <w:num w:numId="23">
    <w:abstractNumId w:val="1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37"/>
    <w:rsid w:val="000E0AB6"/>
    <w:rsid w:val="00140640"/>
    <w:rsid w:val="002633C1"/>
    <w:rsid w:val="002C2AC2"/>
    <w:rsid w:val="0030579A"/>
    <w:rsid w:val="00411AF0"/>
    <w:rsid w:val="00470D79"/>
    <w:rsid w:val="004A4306"/>
    <w:rsid w:val="005773D7"/>
    <w:rsid w:val="00612590"/>
    <w:rsid w:val="00667EF5"/>
    <w:rsid w:val="006800D9"/>
    <w:rsid w:val="006A50A0"/>
    <w:rsid w:val="007151EB"/>
    <w:rsid w:val="00725EC1"/>
    <w:rsid w:val="00735ECD"/>
    <w:rsid w:val="007C3C8C"/>
    <w:rsid w:val="008B6C25"/>
    <w:rsid w:val="008D5DC5"/>
    <w:rsid w:val="008F0537"/>
    <w:rsid w:val="008F1D9C"/>
    <w:rsid w:val="009971E3"/>
    <w:rsid w:val="009A5D05"/>
    <w:rsid w:val="009B71FD"/>
    <w:rsid w:val="009C6092"/>
    <w:rsid w:val="00A454DF"/>
    <w:rsid w:val="00A466D3"/>
    <w:rsid w:val="00AD569E"/>
    <w:rsid w:val="00C24898"/>
    <w:rsid w:val="00C45C3D"/>
    <w:rsid w:val="00C67884"/>
    <w:rsid w:val="00D83CC9"/>
    <w:rsid w:val="00D85BE9"/>
    <w:rsid w:val="00E33E5B"/>
    <w:rsid w:val="00EA7BE6"/>
    <w:rsid w:val="00F670BD"/>
    <w:rsid w:val="00F809EF"/>
    <w:rsid w:val="00FE21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A2D4"/>
  <w15:docId w15:val="{1B963A21-98D9-4F50-B01C-1CA71619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9EF"/>
  </w:style>
  <w:style w:type="paragraph" w:styleId="Titre1">
    <w:name w:val="heading 1"/>
    <w:basedOn w:val="Normal"/>
    <w:link w:val="Titre1Car"/>
    <w:uiPriority w:val="9"/>
    <w:qFormat/>
    <w:rsid w:val="00735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725E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25E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56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569E"/>
    <w:rPr>
      <w:rFonts w:ascii="Tahoma" w:hAnsi="Tahoma" w:cs="Tahoma"/>
      <w:sz w:val="16"/>
      <w:szCs w:val="16"/>
    </w:rPr>
  </w:style>
  <w:style w:type="character" w:styleId="lev">
    <w:name w:val="Strong"/>
    <w:basedOn w:val="Policepardfaut"/>
    <w:uiPriority w:val="22"/>
    <w:qFormat/>
    <w:rsid w:val="00AD569E"/>
    <w:rPr>
      <w:b/>
      <w:bCs/>
    </w:rPr>
  </w:style>
  <w:style w:type="character" w:styleId="Lienhypertexte">
    <w:name w:val="Hyperlink"/>
    <w:basedOn w:val="Policepardfaut"/>
    <w:uiPriority w:val="99"/>
    <w:semiHidden/>
    <w:unhideWhenUsed/>
    <w:rsid w:val="009A5D05"/>
    <w:rPr>
      <w:color w:val="0000FF"/>
      <w:u w:val="single"/>
    </w:rPr>
  </w:style>
  <w:style w:type="character" w:customStyle="1" w:styleId="Titre1Car">
    <w:name w:val="Titre 1 Car"/>
    <w:basedOn w:val="Policepardfaut"/>
    <w:link w:val="Titre1"/>
    <w:uiPriority w:val="9"/>
    <w:rsid w:val="00735ECD"/>
    <w:rPr>
      <w:rFonts w:ascii="Times New Roman" w:eastAsia="Times New Roman" w:hAnsi="Times New Roman" w:cs="Times New Roman"/>
      <w:b/>
      <w:bCs/>
      <w:kern w:val="36"/>
      <w:sz w:val="48"/>
      <w:szCs w:val="48"/>
      <w:lang w:eastAsia="fr-FR"/>
    </w:rPr>
  </w:style>
  <w:style w:type="character" w:customStyle="1" w:styleId="nlmarticle-title">
    <w:name w:val="nlm_article-title"/>
    <w:basedOn w:val="Policepardfaut"/>
    <w:rsid w:val="00735ECD"/>
  </w:style>
  <w:style w:type="character" w:customStyle="1" w:styleId="contribdegrees">
    <w:name w:val="contribdegrees"/>
    <w:basedOn w:val="Policepardfaut"/>
    <w:rsid w:val="00735ECD"/>
  </w:style>
  <w:style w:type="paragraph" w:styleId="En-tte">
    <w:name w:val="header"/>
    <w:basedOn w:val="Normal"/>
    <w:link w:val="En-tteCar"/>
    <w:uiPriority w:val="99"/>
    <w:semiHidden/>
    <w:unhideWhenUsed/>
    <w:rsid w:val="008B6C2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B6C25"/>
  </w:style>
  <w:style w:type="paragraph" w:styleId="Pieddepage">
    <w:name w:val="footer"/>
    <w:basedOn w:val="Normal"/>
    <w:link w:val="PieddepageCar"/>
    <w:uiPriority w:val="99"/>
    <w:semiHidden/>
    <w:unhideWhenUsed/>
    <w:rsid w:val="008B6C2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B6C25"/>
  </w:style>
  <w:style w:type="character" w:customStyle="1" w:styleId="Titre2Car">
    <w:name w:val="Titre 2 Car"/>
    <w:basedOn w:val="Policepardfaut"/>
    <w:link w:val="Titre2"/>
    <w:uiPriority w:val="9"/>
    <w:semiHidden/>
    <w:rsid w:val="00725EC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25EC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25E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normal">
    <w:name w:val="whitespace-normal"/>
    <w:basedOn w:val="Policepardfaut"/>
    <w:rsid w:val="00725EC1"/>
  </w:style>
  <w:style w:type="character" w:customStyle="1" w:styleId="relative">
    <w:name w:val="relative"/>
    <w:basedOn w:val="Policepardfaut"/>
    <w:rsid w:val="00725EC1"/>
  </w:style>
  <w:style w:type="paragraph" w:customStyle="1" w:styleId="not-prose">
    <w:name w:val="not-prose"/>
    <w:basedOn w:val="Normal"/>
    <w:rsid w:val="00725E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25EC1"/>
    <w:rPr>
      <w:i/>
      <w:iCs/>
    </w:rPr>
  </w:style>
  <w:style w:type="paragraph" w:styleId="Paragraphedeliste">
    <w:name w:val="List Paragraph"/>
    <w:basedOn w:val="Normal"/>
    <w:uiPriority w:val="34"/>
    <w:qFormat/>
    <w:rsid w:val="00715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00553">
      <w:bodyDiv w:val="1"/>
      <w:marLeft w:val="0"/>
      <w:marRight w:val="0"/>
      <w:marTop w:val="0"/>
      <w:marBottom w:val="0"/>
      <w:divBdr>
        <w:top w:val="none" w:sz="0" w:space="0" w:color="auto"/>
        <w:left w:val="none" w:sz="0" w:space="0" w:color="auto"/>
        <w:bottom w:val="none" w:sz="0" w:space="0" w:color="auto"/>
        <w:right w:val="none" w:sz="0" w:space="0" w:color="auto"/>
      </w:divBdr>
    </w:div>
    <w:div w:id="190610932">
      <w:bodyDiv w:val="1"/>
      <w:marLeft w:val="0"/>
      <w:marRight w:val="0"/>
      <w:marTop w:val="0"/>
      <w:marBottom w:val="0"/>
      <w:divBdr>
        <w:top w:val="none" w:sz="0" w:space="0" w:color="auto"/>
        <w:left w:val="none" w:sz="0" w:space="0" w:color="auto"/>
        <w:bottom w:val="none" w:sz="0" w:space="0" w:color="auto"/>
        <w:right w:val="none" w:sz="0" w:space="0" w:color="auto"/>
      </w:divBdr>
    </w:div>
    <w:div w:id="199363666">
      <w:bodyDiv w:val="1"/>
      <w:marLeft w:val="0"/>
      <w:marRight w:val="0"/>
      <w:marTop w:val="0"/>
      <w:marBottom w:val="0"/>
      <w:divBdr>
        <w:top w:val="none" w:sz="0" w:space="0" w:color="auto"/>
        <w:left w:val="none" w:sz="0" w:space="0" w:color="auto"/>
        <w:bottom w:val="none" w:sz="0" w:space="0" w:color="auto"/>
        <w:right w:val="none" w:sz="0" w:space="0" w:color="auto"/>
      </w:divBdr>
    </w:div>
    <w:div w:id="225606904">
      <w:bodyDiv w:val="1"/>
      <w:marLeft w:val="0"/>
      <w:marRight w:val="0"/>
      <w:marTop w:val="0"/>
      <w:marBottom w:val="0"/>
      <w:divBdr>
        <w:top w:val="none" w:sz="0" w:space="0" w:color="auto"/>
        <w:left w:val="none" w:sz="0" w:space="0" w:color="auto"/>
        <w:bottom w:val="none" w:sz="0" w:space="0" w:color="auto"/>
        <w:right w:val="none" w:sz="0" w:space="0" w:color="auto"/>
      </w:divBdr>
    </w:div>
    <w:div w:id="322708462">
      <w:bodyDiv w:val="1"/>
      <w:marLeft w:val="0"/>
      <w:marRight w:val="0"/>
      <w:marTop w:val="0"/>
      <w:marBottom w:val="0"/>
      <w:divBdr>
        <w:top w:val="none" w:sz="0" w:space="0" w:color="auto"/>
        <w:left w:val="none" w:sz="0" w:space="0" w:color="auto"/>
        <w:bottom w:val="none" w:sz="0" w:space="0" w:color="auto"/>
        <w:right w:val="none" w:sz="0" w:space="0" w:color="auto"/>
      </w:divBdr>
    </w:div>
    <w:div w:id="332606286">
      <w:bodyDiv w:val="1"/>
      <w:marLeft w:val="0"/>
      <w:marRight w:val="0"/>
      <w:marTop w:val="0"/>
      <w:marBottom w:val="0"/>
      <w:divBdr>
        <w:top w:val="none" w:sz="0" w:space="0" w:color="auto"/>
        <w:left w:val="none" w:sz="0" w:space="0" w:color="auto"/>
        <w:bottom w:val="none" w:sz="0" w:space="0" w:color="auto"/>
        <w:right w:val="none" w:sz="0" w:space="0" w:color="auto"/>
      </w:divBdr>
    </w:div>
    <w:div w:id="370690689">
      <w:bodyDiv w:val="1"/>
      <w:marLeft w:val="0"/>
      <w:marRight w:val="0"/>
      <w:marTop w:val="0"/>
      <w:marBottom w:val="0"/>
      <w:divBdr>
        <w:top w:val="none" w:sz="0" w:space="0" w:color="auto"/>
        <w:left w:val="none" w:sz="0" w:space="0" w:color="auto"/>
        <w:bottom w:val="none" w:sz="0" w:space="0" w:color="auto"/>
        <w:right w:val="none" w:sz="0" w:space="0" w:color="auto"/>
      </w:divBdr>
    </w:div>
    <w:div w:id="428280135">
      <w:bodyDiv w:val="1"/>
      <w:marLeft w:val="0"/>
      <w:marRight w:val="0"/>
      <w:marTop w:val="0"/>
      <w:marBottom w:val="0"/>
      <w:divBdr>
        <w:top w:val="none" w:sz="0" w:space="0" w:color="auto"/>
        <w:left w:val="none" w:sz="0" w:space="0" w:color="auto"/>
        <w:bottom w:val="none" w:sz="0" w:space="0" w:color="auto"/>
        <w:right w:val="none" w:sz="0" w:space="0" w:color="auto"/>
      </w:divBdr>
    </w:div>
    <w:div w:id="453906186">
      <w:bodyDiv w:val="1"/>
      <w:marLeft w:val="0"/>
      <w:marRight w:val="0"/>
      <w:marTop w:val="0"/>
      <w:marBottom w:val="0"/>
      <w:divBdr>
        <w:top w:val="none" w:sz="0" w:space="0" w:color="auto"/>
        <w:left w:val="none" w:sz="0" w:space="0" w:color="auto"/>
        <w:bottom w:val="none" w:sz="0" w:space="0" w:color="auto"/>
        <w:right w:val="none" w:sz="0" w:space="0" w:color="auto"/>
      </w:divBdr>
    </w:div>
    <w:div w:id="626400268">
      <w:bodyDiv w:val="1"/>
      <w:marLeft w:val="0"/>
      <w:marRight w:val="0"/>
      <w:marTop w:val="0"/>
      <w:marBottom w:val="0"/>
      <w:divBdr>
        <w:top w:val="none" w:sz="0" w:space="0" w:color="auto"/>
        <w:left w:val="none" w:sz="0" w:space="0" w:color="auto"/>
        <w:bottom w:val="none" w:sz="0" w:space="0" w:color="auto"/>
        <w:right w:val="none" w:sz="0" w:space="0" w:color="auto"/>
      </w:divBdr>
    </w:div>
    <w:div w:id="732168279">
      <w:bodyDiv w:val="1"/>
      <w:marLeft w:val="0"/>
      <w:marRight w:val="0"/>
      <w:marTop w:val="0"/>
      <w:marBottom w:val="0"/>
      <w:divBdr>
        <w:top w:val="none" w:sz="0" w:space="0" w:color="auto"/>
        <w:left w:val="none" w:sz="0" w:space="0" w:color="auto"/>
        <w:bottom w:val="none" w:sz="0" w:space="0" w:color="auto"/>
        <w:right w:val="none" w:sz="0" w:space="0" w:color="auto"/>
      </w:divBdr>
    </w:div>
    <w:div w:id="769467800">
      <w:bodyDiv w:val="1"/>
      <w:marLeft w:val="0"/>
      <w:marRight w:val="0"/>
      <w:marTop w:val="0"/>
      <w:marBottom w:val="0"/>
      <w:divBdr>
        <w:top w:val="none" w:sz="0" w:space="0" w:color="auto"/>
        <w:left w:val="none" w:sz="0" w:space="0" w:color="auto"/>
        <w:bottom w:val="none" w:sz="0" w:space="0" w:color="auto"/>
        <w:right w:val="none" w:sz="0" w:space="0" w:color="auto"/>
      </w:divBdr>
    </w:div>
    <w:div w:id="802848087">
      <w:bodyDiv w:val="1"/>
      <w:marLeft w:val="0"/>
      <w:marRight w:val="0"/>
      <w:marTop w:val="0"/>
      <w:marBottom w:val="0"/>
      <w:divBdr>
        <w:top w:val="none" w:sz="0" w:space="0" w:color="auto"/>
        <w:left w:val="none" w:sz="0" w:space="0" w:color="auto"/>
        <w:bottom w:val="none" w:sz="0" w:space="0" w:color="auto"/>
        <w:right w:val="none" w:sz="0" w:space="0" w:color="auto"/>
      </w:divBdr>
    </w:div>
    <w:div w:id="834802277">
      <w:bodyDiv w:val="1"/>
      <w:marLeft w:val="0"/>
      <w:marRight w:val="0"/>
      <w:marTop w:val="0"/>
      <w:marBottom w:val="0"/>
      <w:divBdr>
        <w:top w:val="none" w:sz="0" w:space="0" w:color="auto"/>
        <w:left w:val="none" w:sz="0" w:space="0" w:color="auto"/>
        <w:bottom w:val="none" w:sz="0" w:space="0" w:color="auto"/>
        <w:right w:val="none" w:sz="0" w:space="0" w:color="auto"/>
      </w:divBdr>
    </w:div>
    <w:div w:id="843323779">
      <w:bodyDiv w:val="1"/>
      <w:marLeft w:val="0"/>
      <w:marRight w:val="0"/>
      <w:marTop w:val="0"/>
      <w:marBottom w:val="0"/>
      <w:divBdr>
        <w:top w:val="none" w:sz="0" w:space="0" w:color="auto"/>
        <w:left w:val="none" w:sz="0" w:space="0" w:color="auto"/>
        <w:bottom w:val="none" w:sz="0" w:space="0" w:color="auto"/>
        <w:right w:val="none" w:sz="0" w:space="0" w:color="auto"/>
      </w:divBdr>
    </w:div>
    <w:div w:id="1193617097">
      <w:bodyDiv w:val="1"/>
      <w:marLeft w:val="0"/>
      <w:marRight w:val="0"/>
      <w:marTop w:val="0"/>
      <w:marBottom w:val="0"/>
      <w:divBdr>
        <w:top w:val="none" w:sz="0" w:space="0" w:color="auto"/>
        <w:left w:val="none" w:sz="0" w:space="0" w:color="auto"/>
        <w:bottom w:val="none" w:sz="0" w:space="0" w:color="auto"/>
        <w:right w:val="none" w:sz="0" w:space="0" w:color="auto"/>
      </w:divBdr>
      <w:divsChild>
        <w:div w:id="233129243">
          <w:marLeft w:val="0"/>
          <w:marRight w:val="0"/>
          <w:marTop w:val="0"/>
          <w:marBottom w:val="0"/>
          <w:divBdr>
            <w:top w:val="none" w:sz="0" w:space="0" w:color="auto"/>
            <w:left w:val="none" w:sz="0" w:space="0" w:color="auto"/>
            <w:bottom w:val="none" w:sz="0" w:space="0" w:color="auto"/>
            <w:right w:val="none" w:sz="0" w:space="0" w:color="auto"/>
          </w:divBdr>
          <w:divsChild>
            <w:div w:id="1048257322">
              <w:marLeft w:val="0"/>
              <w:marRight w:val="0"/>
              <w:marTop w:val="0"/>
              <w:marBottom w:val="0"/>
              <w:divBdr>
                <w:top w:val="none" w:sz="0" w:space="0" w:color="auto"/>
                <w:left w:val="none" w:sz="0" w:space="0" w:color="auto"/>
                <w:bottom w:val="none" w:sz="0" w:space="0" w:color="auto"/>
                <w:right w:val="none" w:sz="0" w:space="0" w:color="auto"/>
              </w:divBdr>
              <w:divsChild>
                <w:div w:id="1632855695">
                  <w:marLeft w:val="0"/>
                  <w:marRight w:val="0"/>
                  <w:marTop w:val="0"/>
                  <w:marBottom w:val="0"/>
                  <w:divBdr>
                    <w:top w:val="none" w:sz="0" w:space="0" w:color="auto"/>
                    <w:left w:val="none" w:sz="0" w:space="0" w:color="auto"/>
                    <w:bottom w:val="none" w:sz="0" w:space="0" w:color="auto"/>
                    <w:right w:val="none" w:sz="0" w:space="0" w:color="auto"/>
                  </w:divBdr>
                  <w:divsChild>
                    <w:div w:id="1580289445">
                      <w:marLeft w:val="0"/>
                      <w:marRight w:val="0"/>
                      <w:marTop w:val="0"/>
                      <w:marBottom w:val="0"/>
                      <w:divBdr>
                        <w:top w:val="none" w:sz="0" w:space="0" w:color="auto"/>
                        <w:left w:val="none" w:sz="0" w:space="0" w:color="auto"/>
                        <w:bottom w:val="none" w:sz="0" w:space="0" w:color="auto"/>
                        <w:right w:val="none" w:sz="0" w:space="0" w:color="auto"/>
                      </w:divBdr>
                      <w:divsChild>
                        <w:div w:id="1095780713">
                          <w:marLeft w:val="0"/>
                          <w:marRight w:val="0"/>
                          <w:marTop w:val="0"/>
                          <w:marBottom w:val="0"/>
                          <w:divBdr>
                            <w:top w:val="none" w:sz="0" w:space="0" w:color="auto"/>
                            <w:left w:val="none" w:sz="0" w:space="0" w:color="auto"/>
                            <w:bottom w:val="none" w:sz="0" w:space="0" w:color="auto"/>
                            <w:right w:val="none" w:sz="0" w:space="0" w:color="auto"/>
                          </w:divBdr>
                          <w:divsChild>
                            <w:div w:id="4170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71899">
                  <w:marLeft w:val="0"/>
                  <w:marRight w:val="0"/>
                  <w:marTop w:val="0"/>
                  <w:marBottom w:val="0"/>
                  <w:divBdr>
                    <w:top w:val="none" w:sz="0" w:space="0" w:color="auto"/>
                    <w:left w:val="none" w:sz="0" w:space="0" w:color="auto"/>
                    <w:bottom w:val="none" w:sz="0" w:space="0" w:color="auto"/>
                    <w:right w:val="none" w:sz="0" w:space="0" w:color="auto"/>
                  </w:divBdr>
                  <w:divsChild>
                    <w:div w:id="316887129">
                      <w:marLeft w:val="0"/>
                      <w:marRight w:val="0"/>
                      <w:marTop w:val="0"/>
                      <w:marBottom w:val="0"/>
                      <w:divBdr>
                        <w:top w:val="none" w:sz="0" w:space="0" w:color="auto"/>
                        <w:left w:val="none" w:sz="0" w:space="0" w:color="auto"/>
                        <w:bottom w:val="none" w:sz="0" w:space="0" w:color="auto"/>
                        <w:right w:val="none" w:sz="0" w:space="0" w:color="auto"/>
                      </w:divBdr>
                      <w:divsChild>
                        <w:div w:id="5765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469185">
          <w:marLeft w:val="0"/>
          <w:marRight w:val="0"/>
          <w:marTop w:val="0"/>
          <w:marBottom w:val="0"/>
          <w:divBdr>
            <w:top w:val="none" w:sz="0" w:space="0" w:color="auto"/>
            <w:left w:val="none" w:sz="0" w:space="0" w:color="auto"/>
            <w:bottom w:val="none" w:sz="0" w:space="0" w:color="auto"/>
            <w:right w:val="none" w:sz="0" w:space="0" w:color="auto"/>
          </w:divBdr>
          <w:divsChild>
            <w:div w:id="95638336">
              <w:marLeft w:val="0"/>
              <w:marRight w:val="0"/>
              <w:marTop w:val="0"/>
              <w:marBottom w:val="0"/>
              <w:divBdr>
                <w:top w:val="none" w:sz="0" w:space="0" w:color="auto"/>
                <w:left w:val="none" w:sz="0" w:space="0" w:color="auto"/>
                <w:bottom w:val="none" w:sz="0" w:space="0" w:color="auto"/>
                <w:right w:val="none" w:sz="0" w:space="0" w:color="auto"/>
              </w:divBdr>
              <w:divsChild>
                <w:div w:id="250117946">
                  <w:marLeft w:val="0"/>
                  <w:marRight w:val="0"/>
                  <w:marTop w:val="0"/>
                  <w:marBottom w:val="0"/>
                  <w:divBdr>
                    <w:top w:val="none" w:sz="0" w:space="0" w:color="auto"/>
                    <w:left w:val="none" w:sz="0" w:space="0" w:color="auto"/>
                    <w:bottom w:val="none" w:sz="0" w:space="0" w:color="auto"/>
                    <w:right w:val="none" w:sz="0" w:space="0" w:color="auto"/>
                  </w:divBdr>
                  <w:divsChild>
                    <w:div w:id="1789859475">
                      <w:marLeft w:val="0"/>
                      <w:marRight w:val="0"/>
                      <w:marTop w:val="0"/>
                      <w:marBottom w:val="0"/>
                      <w:divBdr>
                        <w:top w:val="none" w:sz="0" w:space="0" w:color="auto"/>
                        <w:left w:val="none" w:sz="0" w:space="0" w:color="auto"/>
                        <w:bottom w:val="none" w:sz="0" w:space="0" w:color="auto"/>
                        <w:right w:val="none" w:sz="0" w:space="0" w:color="auto"/>
                      </w:divBdr>
                      <w:divsChild>
                        <w:div w:id="2082749283">
                          <w:marLeft w:val="0"/>
                          <w:marRight w:val="0"/>
                          <w:marTop w:val="0"/>
                          <w:marBottom w:val="0"/>
                          <w:divBdr>
                            <w:top w:val="none" w:sz="0" w:space="0" w:color="auto"/>
                            <w:left w:val="none" w:sz="0" w:space="0" w:color="auto"/>
                            <w:bottom w:val="none" w:sz="0" w:space="0" w:color="auto"/>
                            <w:right w:val="none" w:sz="0" w:space="0" w:color="auto"/>
                          </w:divBdr>
                          <w:divsChild>
                            <w:div w:id="952787738">
                              <w:marLeft w:val="0"/>
                              <w:marRight w:val="0"/>
                              <w:marTop w:val="0"/>
                              <w:marBottom w:val="0"/>
                              <w:divBdr>
                                <w:top w:val="none" w:sz="0" w:space="0" w:color="auto"/>
                                <w:left w:val="none" w:sz="0" w:space="0" w:color="auto"/>
                                <w:bottom w:val="none" w:sz="0" w:space="0" w:color="auto"/>
                                <w:right w:val="none" w:sz="0" w:space="0" w:color="auto"/>
                              </w:divBdr>
                              <w:divsChild>
                                <w:div w:id="74849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57971">
          <w:marLeft w:val="0"/>
          <w:marRight w:val="0"/>
          <w:marTop w:val="0"/>
          <w:marBottom w:val="0"/>
          <w:divBdr>
            <w:top w:val="none" w:sz="0" w:space="0" w:color="auto"/>
            <w:left w:val="none" w:sz="0" w:space="0" w:color="auto"/>
            <w:bottom w:val="none" w:sz="0" w:space="0" w:color="auto"/>
            <w:right w:val="none" w:sz="0" w:space="0" w:color="auto"/>
          </w:divBdr>
          <w:divsChild>
            <w:div w:id="186913996">
              <w:marLeft w:val="0"/>
              <w:marRight w:val="0"/>
              <w:marTop w:val="0"/>
              <w:marBottom w:val="0"/>
              <w:divBdr>
                <w:top w:val="none" w:sz="0" w:space="0" w:color="auto"/>
                <w:left w:val="none" w:sz="0" w:space="0" w:color="auto"/>
                <w:bottom w:val="none" w:sz="0" w:space="0" w:color="auto"/>
                <w:right w:val="none" w:sz="0" w:space="0" w:color="auto"/>
              </w:divBdr>
              <w:divsChild>
                <w:div w:id="1287274040">
                  <w:marLeft w:val="0"/>
                  <w:marRight w:val="0"/>
                  <w:marTop w:val="0"/>
                  <w:marBottom w:val="0"/>
                  <w:divBdr>
                    <w:top w:val="none" w:sz="0" w:space="0" w:color="auto"/>
                    <w:left w:val="none" w:sz="0" w:space="0" w:color="auto"/>
                    <w:bottom w:val="none" w:sz="0" w:space="0" w:color="auto"/>
                    <w:right w:val="none" w:sz="0" w:space="0" w:color="auto"/>
                  </w:divBdr>
                  <w:divsChild>
                    <w:div w:id="426654206">
                      <w:marLeft w:val="0"/>
                      <w:marRight w:val="0"/>
                      <w:marTop w:val="0"/>
                      <w:marBottom w:val="0"/>
                      <w:divBdr>
                        <w:top w:val="none" w:sz="0" w:space="0" w:color="auto"/>
                        <w:left w:val="none" w:sz="0" w:space="0" w:color="auto"/>
                        <w:bottom w:val="none" w:sz="0" w:space="0" w:color="auto"/>
                        <w:right w:val="none" w:sz="0" w:space="0" w:color="auto"/>
                      </w:divBdr>
                      <w:divsChild>
                        <w:div w:id="856429190">
                          <w:marLeft w:val="0"/>
                          <w:marRight w:val="0"/>
                          <w:marTop w:val="0"/>
                          <w:marBottom w:val="0"/>
                          <w:divBdr>
                            <w:top w:val="none" w:sz="0" w:space="0" w:color="auto"/>
                            <w:left w:val="none" w:sz="0" w:space="0" w:color="auto"/>
                            <w:bottom w:val="none" w:sz="0" w:space="0" w:color="auto"/>
                            <w:right w:val="none" w:sz="0" w:space="0" w:color="auto"/>
                          </w:divBdr>
                          <w:divsChild>
                            <w:div w:id="18114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853126">
      <w:bodyDiv w:val="1"/>
      <w:marLeft w:val="0"/>
      <w:marRight w:val="0"/>
      <w:marTop w:val="0"/>
      <w:marBottom w:val="0"/>
      <w:divBdr>
        <w:top w:val="none" w:sz="0" w:space="0" w:color="auto"/>
        <w:left w:val="none" w:sz="0" w:space="0" w:color="auto"/>
        <w:bottom w:val="none" w:sz="0" w:space="0" w:color="auto"/>
        <w:right w:val="none" w:sz="0" w:space="0" w:color="auto"/>
      </w:divBdr>
    </w:div>
    <w:div w:id="1326933599">
      <w:bodyDiv w:val="1"/>
      <w:marLeft w:val="0"/>
      <w:marRight w:val="0"/>
      <w:marTop w:val="0"/>
      <w:marBottom w:val="0"/>
      <w:divBdr>
        <w:top w:val="none" w:sz="0" w:space="0" w:color="auto"/>
        <w:left w:val="none" w:sz="0" w:space="0" w:color="auto"/>
        <w:bottom w:val="none" w:sz="0" w:space="0" w:color="auto"/>
        <w:right w:val="none" w:sz="0" w:space="0" w:color="auto"/>
      </w:divBdr>
    </w:div>
    <w:div w:id="1349870090">
      <w:bodyDiv w:val="1"/>
      <w:marLeft w:val="0"/>
      <w:marRight w:val="0"/>
      <w:marTop w:val="0"/>
      <w:marBottom w:val="0"/>
      <w:divBdr>
        <w:top w:val="none" w:sz="0" w:space="0" w:color="auto"/>
        <w:left w:val="none" w:sz="0" w:space="0" w:color="auto"/>
        <w:bottom w:val="none" w:sz="0" w:space="0" w:color="auto"/>
        <w:right w:val="none" w:sz="0" w:space="0" w:color="auto"/>
      </w:divBdr>
    </w:div>
    <w:div w:id="1456944875">
      <w:bodyDiv w:val="1"/>
      <w:marLeft w:val="0"/>
      <w:marRight w:val="0"/>
      <w:marTop w:val="0"/>
      <w:marBottom w:val="0"/>
      <w:divBdr>
        <w:top w:val="none" w:sz="0" w:space="0" w:color="auto"/>
        <w:left w:val="none" w:sz="0" w:space="0" w:color="auto"/>
        <w:bottom w:val="none" w:sz="0" w:space="0" w:color="auto"/>
        <w:right w:val="none" w:sz="0" w:space="0" w:color="auto"/>
      </w:divBdr>
    </w:div>
    <w:div w:id="1690064886">
      <w:bodyDiv w:val="1"/>
      <w:marLeft w:val="0"/>
      <w:marRight w:val="0"/>
      <w:marTop w:val="0"/>
      <w:marBottom w:val="0"/>
      <w:divBdr>
        <w:top w:val="none" w:sz="0" w:space="0" w:color="auto"/>
        <w:left w:val="none" w:sz="0" w:space="0" w:color="auto"/>
        <w:bottom w:val="none" w:sz="0" w:space="0" w:color="auto"/>
        <w:right w:val="none" w:sz="0" w:space="0" w:color="auto"/>
      </w:divBdr>
    </w:div>
    <w:div w:id="1863475325">
      <w:bodyDiv w:val="1"/>
      <w:marLeft w:val="0"/>
      <w:marRight w:val="0"/>
      <w:marTop w:val="0"/>
      <w:marBottom w:val="0"/>
      <w:divBdr>
        <w:top w:val="none" w:sz="0" w:space="0" w:color="auto"/>
        <w:left w:val="none" w:sz="0" w:space="0" w:color="auto"/>
        <w:bottom w:val="none" w:sz="0" w:space="0" w:color="auto"/>
        <w:right w:val="none" w:sz="0" w:space="0" w:color="auto"/>
      </w:divBdr>
      <w:divsChild>
        <w:div w:id="1843811488">
          <w:marLeft w:val="0"/>
          <w:marRight w:val="0"/>
          <w:marTop w:val="0"/>
          <w:marBottom w:val="0"/>
          <w:divBdr>
            <w:top w:val="none" w:sz="0" w:space="0" w:color="auto"/>
            <w:left w:val="none" w:sz="0" w:space="0" w:color="auto"/>
            <w:bottom w:val="none" w:sz="0" w:space="0" w:color="auto"/>
            <w:right w:val="none" w:sz="0" w:space="0" w:color="auto"/>
          </w:divBdr>
          <w:divsChild>
            <w:div w:id="1500850599">
              <w:marLeft w:val="0"/>
              <w:marRight w:val="0"/>
              <w:marTop w:val="0"/>
              <w:marBottom w:val="0"/>
              <w:divBdr>
                <w:top w:val="none" w:sz="0" w:space="0" w:color="auto"/>
                <w:left w:val="none" w:sz="0" w:space="0" w:color="auto"/>
                <w:bottom w:val="none" w:sz="0" w:space="0" w:color="auto"/>
                <w:right w:val="none" w:sz="0" w:space="0" w:color="auto"/>
              </w:divBdr>
              <w:divsChild>
                <w:div w:id="529412425">
                  <w:marLeft w:val="0"/>
                  <w:marRight w:val="0"/>
                  <w:marTop w:val="0"/>
                  <w:marBottom w:val="0"/>
                  <w:divBdr>
                    <w:top w:val="none" w:sz="0" w:space="0" w:color="auto"/>
                    <w:left w:val="none" w:sz="0" w:space="0" w:color="auto"/>
                    <w:bottom w:val="none" w:sz="0" w:space="0" w:color="auto"/>
                    <w:right w:val="none" w:sz="0" w:space="0" w:color="auto"/>
                  </w:divBdr>
                  <w:divsChild>
                    <w:div w:id="2104304890">
                      <w:marLeft w:val="0"/>
                      <w:marRight w:val="0"/>
                      <w:marTop w:val="0"/>
                      <w:marBottom w:val="0"/>
                      <w:divBdr>
                        <w:top w:val="none" w:sz="0" w:space="0" w:color="auto"/>
                        <w:left w:val="none" w:sz="0" w:space="0" w:color="auto"/>
                        <w:bottom w:val="none" w:sz="0" w:space="0" w:color="auto"/>
                        <w:right w:val="none" w:sz="0" w:space="0" w:color="auto"/>
                      </w:divBdr>
                      <w:divsChild>
                        <w:div w:id="914558306">
                          <w:marLeft w:val="0"/>
                          <w:marRight w:val="0"/>
                          <w:marTop w:val="0"/>
                          <w:marBottom w:val="0"/>
                          <w:divBdr>
                            <w:top w:val="none" w:sz="0" w:space="0" w:color="auto"/>
                            <w:left w:val="none" w:sz="0" w:space="0" w:color="auto"/>
                            <w:bottom w:val="none" w:sz="0" w:space="0" w:color="auto"/>
                            <w:right w:val="none" w:sz="0" w:space="0" w:color="auto"/>
                          </w:divBdr>
                          <w:divsChild>
                            <w:div w:id="1005982466">
                              <w:marLeft w:val="0"/>
                              <w:marRight w:val="0"/>
                              <w:marTop w:val="0"/>
                              <w:marBottom w:val="0"/>
                              <w:divBdr>
                                <w:top w:val="none" w:sz="0" w:space="0" w:color="auto"/>
                                <w:left w:val="none" w:sz="0" w:space="0" w:color="auto"/>
                                <w:bottom w:val="none" w:sz="0" w:space="0" w:color="auto"/>
                                <w:right w:val="none" w:sz="0" w:space="0" w:color="auto"/>
                              </w:divBdr>
                              <w:divsChild>
                                <w:div w:id="637763297">
                                  <w:marLeft w:val="0"/>
                                  <w:marRight w:val="0"/>
                                  <w:marTop w:val="0"/>
                                  <w:marBottom w:val="0"/>
                                  <w:divBdr>
                                    <w:top w:val="none" w:sz="0" w:space="0" w:color="auto"/>
                                    <w:left w:val="none" w:sz="0" w:space="0" w:color="auto"/>
                                    <w:bottom w:val="none" w:sz="0" w:space="0" w:color="auto"/>
                                    <w:right w:val="none" w:sz="0" w:space="0" w:color="auto"/>
                                  </w:divBdr>
                                </w:div>
                                <w:div w:id="680282409">
                                  <w:marLeft w:val="0"/>
                                  <w:marRight w:val="0"/>
                                  <w:marTop w:val="0"/>
                                  <w:marBottom w:val="0"/>
                                  <w:divBdr>
                                    <w:top w:val="none" w:sz="0" w:space="0" w:color="auto"/>
                                    <w:left w:val="none" w:sz="0" w:space="0" w:color="auto"/>
                                    <w:bottom w:val="none" w:sz="0" w:space="0" w:color="auto"/>
                                    <w:right w:val="none" w:sz="0" w:space="0" w:color="auto"/>
                                  </w:divBdr>
                                </w:div>
                                <w:div w:id="1238710379">
                                  <w:marLeft w:val="0"/>
                                  <w:marRight w:val="0"/>
                                  <w:marTop w:val="0"/>
                                  <w:marBottom w:val="0"/>
                                  <w:divBdr>
                                    <w:top w:val="none" w:sz="0" w:space="0" w:color="auto"/>
                                    <w:left w:val="none" w:sz="0" w:space="0" w:color="auto"/>
                                    <w:bottom w:val="none" w:sz="0" w:space="0" w:color="auto"/>
                                    <w:right w:val="none" w:sz="0" w:space="0" w:color="auto"/>
                                  </w:divBdr>
                                </w:div>
                                <w:div w:id="2074960013">
                                  <w:marLeft w:val="0"/>
                                  <w:marRight w:val="0"/>
                                  <w:marTop w:val="0"/>
                                  <w:marBottom w:val="0"/>
                                  <w:divBdr>
                                    <w:top w:val="none" w:sz="0" w:space="0" w:color="auto"/>
                                    <w:left w:val="none" w:sz="0" w:space="0" w:color="auto"/>
                                    <w:bottom w:val="none" w:sz="0" w:space="0" w:color="auto"/>
                                    <w:right w:val="none" w:sz="0" w:space="0" w:color="auto"/>
                                  </w:divBdr>
                                </w:div>
                                <w:div w:id="378826827">
                                  <w:marLeft w:val="0"/>
                                  <w:marRight w:val="0"/>
                                  <w:marTop w:val="0"/>
                                  <w:marBottom w:val="0"/>
                                  <w:divBdr>
                                    <w:top w:val="none" w:sz="0" w:space="0" w:color="auto"/>
                                    <w:left w:val="none" w:sz="0" w:space="0" w:color="auto"/>
                                    <w:bottom w:val="none" w:sz="0" w:space="0" w:color="auto"/>
                                    <w:right w:val="none" w:sz="0" w:space="0" w:color="auto"/>
                                  </w:divBdr>
                                </w:div>
                                <w:div w:id="2988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737830">
          <w:marLeft w:val="0"/>
          <w:marRight w:val="0"/>
          <w:marTop w:val="0"/>
          <w:marBottom w:val="0"/>
          <w:divBdr>
            <w:top w:val="none" w:sz="0" w:space="0" w:color="auto"/>
            <w:left w:val="none" w:sz="0" w:space="0" w:color="auto"/>
            <w:bottom w:val="none" w:sz="0" w:space="0" w:color="auto"/>
            <w:right w:val="none" w:sz="0" w:space="0" w:color="auto"/>
          </w:divBdr>
          <w:divsChild>
            <w:div w:id="662971674">
              <w:marLeft w:val="0"/>
              <w:marRight w:val="0"/>
              <w:marTop w:val="0"/>
              <w:marBottom w:val="0"/>
              <w:divBdr>
                <w:top w:val="none" w:sz="0" w:space="0" w:color="auto"/>
                <w:left w:val="none" w:sz="0" w:space="0" w:color="auto"/>
                <w:bottom w:val="none" w:sz="0" w:space="0" w:color="auto"/>
                <w:right w:val="none" w:sz="0" w:space="0" w:color="auto"/>
              </w:divBdr>
              <w:divsChild>
                <w:div w:id="566458127">
                  <w:marLeft w:val="0"/>
                  <w:marRight w:val="0"/>
                  <w:marTop w:val="0"/>
                  <w:marBottom w:val="0"/>
                  <w:divBdr>
                    <w:top w:val="none" w:sz="0" w:space="0" w:color="auto"/>
                    <w:left w:val="none" w:sz="0" w:space="0" w:color="auto"/>
                    <w:bottom w:val="none" w:sz="0" w:space="0" w:color="auto"/>
                    <w:right w:val="none" w:sz="0" w:space="0" w:color="auto"/>
                  </w:divBdr>
                  <w:divsChild>
                    <w:div w:id="1564177307">
                      <w:marLeft w:val="0"/>
                      <w:marRight w:val="0"/>
                      <w:marTop w:val="0"/>
                      <w:marBottom w:val="0"/>
                      <w:divBdr>
                        <w:top w:val="none" w:sz="0" w:space="0" w:color="auto"/>
                        <w:left w:val="none" w:sz="0" w:space="0" w:color="auto"/>
                        <w:bottom w:val="none" w:sz="0" w:space="0" w:color="auto"/>
                        <w:right w:val="none" w:sz="0" w:space="0" w:color="auto"/>
                      </w:divBdr>
                      <w:divsChild>
                        <w:div w:id="303002121">
                          <w:marLeft w:val="0"/>
                          <w:marRight w:val="0"/>
                          <w:marTop w:val="0"/>
                          <w:marBottom w:val="0"/>
                          <w:divBdr>
                            <w:top w:val="none" w:sz="0" w:space="0" w:color="auto"/>
                            <w:left w:val="none" w:sz="0" w:space="0" w:color="auto"/>
                            <w:bottom w:val="none" w:sz="0" w:space="0" w:color="auto"/>
                            <w:right w:val="none" w:sz="0" w:space="0" w:color="auto"/>
                          </w:divBdr>
                          <w:divsChild>
                            <w:div w:id="460079132">
                              <w:marLeft w:val="0"/>
                              <w:marRight w:val="0"/>
                              <w:marTop w:val="0"/>
                              <w:marBottom w:val="0"/>
                              <w:divBdr>
                                <w:top w:val="none" w:sz="0" w:space="0" w:color="auto"/>
                                <w:left w:val="none" w:sz="0" w:space="0" w:color="auto"/>
                                <w:bottom w:val="none" w:sz="0" w:space="0" w:color="auto"/>
                                <w:right w:val="none" w:sz="0" w:space="0" w:color="auto"/>
                              </w:divBdr>
                              <w:divsChild>
                                <w:div w:id="1705062514">
                                  <w:marLeft w:val="0"/>
                                  <w:marRight w:val="0"/>
                                  <w:marTop w:val="0"/>
                                  <w:marBottom w:val="0"/>
                                  <w:divBdr>
                                    <w:top w:val="none" w:sz="0" w:space="0" w:color="auto"/>
                                    <w:left w:val="none" w:sz="0" w:space="0" w:color="auto"/>
                                    <w:bottom w:val="none" w:sz="0" w:space="0" w:color="auto"/>
                                    <w:right w:val="none" w:sz="0" w:space="0" w:color="auto"/>
                                  </w:divBdr>
                                  <w:divsChild>
                                    <w:div w:id="1318194883">
                                      <w:marLeft w:val="0"/>
                                      <w:marRight w:val="0"/>
                                      <w:marTop w:val="0"/>
                                      <w:marBottom w:val="0"/>
                                      <w:divBdr>
                                        <w:top w:val="none" w:sz="0" w:space="0" w:color="auto"/>
                                        <w:left w:val="none" w:sz="0" w:space="0" w:color="auto"/>
                                        <w:bottom w:val="none" w:sz="0" w:space="0" w:color="auto"/>
                                        <w:right w:val="none" w:sz="0" w:space="0" w:color="auto"/>
                                      </w:divBdr>
                                      <w:divsChild>
                                        <w:div w:id="2120568286">
                                          <w:marLeft w:val="0"/>
                                          <w:marRight w:val="0"/>
                                          <w:marTop w:val="0"/>
                                          <w:marBottom w:val="0"/>
                                          <w:divBdr>
                                            <w:top w:val="none" w:sz="0" w:space="0" w:color="auto"/>
                                            <w:left w:val="none" w:sz="0" w:space="0" w:color="auto"/>
                                            <w:bottom w:val="none" w:sz="0" w:space="0" w:color="auto"/>
                                            <w:right w:val="none" w:sz="0" w:space="0" w:color="auto"/>
                                          </w:divBdr>
                                          <w:divsChild>
                                            <w:div w:id="591864834">
                                              <w:marLeft w:val="0"/>
                                              <w:marRight w:val="0"/>
                                              <w:marTop w:val="0"/>
                                              <w:marBottom w:val="0"/>
                                              <w:divBdr>
                                                <w:top w:val="none" w:sz="0" w:space="0" w:color="auto"/>
                                                <w:left w:val="none" w:sz="0" w:space="0" w:color="auto"/>
                                                <w:bottom w:val="none" w:sz="0" w:space="0" w:color="auto"/>
                                                <w:right w:val="none" w:sz="0" w:space="0" w:color="auto"/>
                                              </w:divBdr>
                                              <w:divsChild>
                                                <w:div w:id="5778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15029">
      <w:bodyDiv w:val="1"/>
      <w:marLeft w:val="0"/>
      <w:marRight w:val="0"/>
      <w:marTop w:val="0"/>
      <w:marBottom w:val="0"/>
      <w:divBdr>
        <w:top w:val="none" w:sz="0" w:space="0" w:color="auto"/>
        <w:left w:val="none" w:sz="0" w:space="0" w:color="auto"/>
        <w:bottom w:val="none" w:sz="0" w:space="0" w:color="auto"/>
        <w:right w:val="none" w:sz="0" w:space="0" w:color="auto"/>
      </w:divBdr>
      <w:divsChild>
        <w:div w:id="319621035">
          <w:marLeft w:val="0"/>
          <w:marRight w:val="0"/>
          <w:marTop w:val="0"/>
          <w:marBottom w:val="0"/>
          <w:divBdr>
            <w:top w:val="none" w:sz="0" w:space="0" w:color="auto"/>
            <w:left w:val="none" w:sz="0" w:space="0" w:color="auto"/>
            <w:bottom w:val="none" w:sz="0" w:space="0" w:color="auto"/>
            <w:right w:val="none" w:sz="0" w:space="0" w:color="auto"/>
          </w:divBdr>
          <w:divsChild>
            <w:div w:id="1786970916">
              <w:marLeft w:val="0"/>
              <w:marRight w:val="0"/>
              <w:marTop w:val="0"/>
              <w:marBottom w:val="0"/>
              <w:divBdr>
                <w:top w:val="none" w:sz="0" w:space="0" w:color="auto"/>
                <w:left w:val="none" w:sz="0" w:space="0" w:color="auto"/>
                <w:bottom w:val="none" w:sz="0" w:space="0" w:color="auto"/>
                <w:right w:val="none" w:sz="0" w:space="0" w:color="auto"/>
              </w:divBdr>
              <w:divsChild>
                <w:div w:id="264384558">
                  <w:marLeft w:val="0"/>
                  <w:marRight w:val="0"/>
                  <w:marTop w:val="0"/>
                  <w:marBottom w:val="0"/>
                  <w:divBdr>
                    <w:top w:val="none" w:sz="0" w:space="0" w:color="auto"/>
                    <w:left w:val="none" w:sz="0" w:space="0" w:color="auto"/>
                    <w:bottom w:val="none" w:sz="0" w:space="0" w:color="auto"/>
                    <w:right w:val="none" w:sz="0" w:space="0" w:color="auto"/>
                  </w:divBdr>
                  <w:divsChild>
                    <w:div w:id="170488370">
                      <w:marLeft w:val="0"/>
                      <w:marRight w:val="0"/>
                      <w:marTop w:val="0"/>
                      <w:marBottom w:val="0"/>
                      <w:divBdr>
                        <w:top w:val="none" w:sz="0" w:space="0" w:color="auto"/>
                        <w:left w:val="none" w:sz="0" w:space="0" w:color="auto"/>
                        <w:bottom w:val="none" w:sz="0" w:space="0" w:color="auto"/>
                        <w:right w:val="none" w:sz="0" w:space="0" w:color="auto"/>
                      </w:divBdr>
                      <w:divsChild>
                        <w:div w:id="847870755">
                          <w:marLeft w:val="0"/>
                          <w:marRight w:val="0"/>
                          <w:marTop w:val="0"/>
                          <w:marBottom w:val="0"/>
                          <w:divBdr>
                            <w:top w:val="none" w:sz="0" w:space="0" w:color="auto"/>
                            <w:left w:val="none" w:sz="0" w:space="0" w:color="auto"/>
                            <w:bottom w:val="none" w:sz="0" w:space="0" w:color="auto"/>
                            <w:right w:val="none" w:sz="0" w:space="0" w:color="auto"/>
                          </w:divBdr>
                          <w:divsChild>
                            <w:div w:id="1309630082">
                              <w:marLeft w:val="0"/>
                              <w:marRight w:val="0"/>
                              <w:marTop w:val="0"/>
                              <w:marBottom w:val="0"/>
                              <w:divBdr>
                                <w:top w:val="none" w:sz="0" w:space="0" w:color="auto"/>
                                <w:left w:val="none" w:sz="0" w:space="0" w:color="auto"/>
                                <w:bottom w:val="none" w:sz="0" w:space="0" w:color="auto"/>
                                <w:right w:val="none" w:sz="0" w:space="0" w:color="auto"/>
                              </w:divBdr>
                              <w:divsChild>
                                <w:div w:id="1683362150">
                                  <w:marLeft w:val="0"/>
                                  <w:marRight w:val="0"/>
                                  <w:marTop w:val="0"/>
                                  <w:marBottom w:val="0"/>
                                  <w:divBdr>
                                    <w:top w:val="none" w:sz="0" w:space="0" w:color="auto"/>
                                    <w:left w:val="none" w:sz="0" w:space="0" w:color="auto"/>
                                    <w:bottom w:val="none" w:sz="0" w:space="0" w:color="auto"/>
                                    <w:right w:val="none" w:sz="0" w:space="0" w:color="auto"/>
                                  </w:divBdr>
                                </w:div>
                                <w:div w:id="81069903">
                                  <w:marLeft w:val="0"/>
                                  <w:marRight w:val="0"/>
                                  <w:marTop w:val="0"/>
                                  <w:marBottom w:val="0"/>
                                  <w:divBdr>
                                    <w:top w:val="none" w:sz="0" w:space="0" w:color="auto"/>
                                    <w:left w:val="none" w:sz="0" w:space="0" w:color="auto"/>
                                    <w:bottom w:val="none" w:sz="0" w:space="0" w:color="auto"/>
                                    <w:right w:val="none" w:sz="0" w:space="0" w:color="auto"/>
                                  </w:divBdr>
                                </w:div>
                                <w:div w:id="2003239855">
                                  <w:marLeft w:val="0"/>
                                  <w:marRight w:val="0"/>
                                  <w:marTop w:val="0"/>
                                  <w:marBottom w:val="0"/>
                                  <w:divBdr>
                                    <w:top w:val="none" w:sz="0" w:space="0" w:color="auto"/>
                                    <w:left w:val="none" w:sz="0" w:space="0" w:color="auto"/>
                                    <w:bottom w:val="none" w:sz="0" w:space="0" w:color="auto"/>
                                    <w:right w:val="none" w:sz="0" w:space="0" w:color="auto"/>
                                  </w:divBdr>
                                </w:div>
                                <w:div w:id="1291669141">
                                  <w:marLeft w:val="0"/>
                                  <w:marRight w:val="0"/>
                                  <w:marTop w:val="0"/>
                                  <w:marBottom w:val="0"/>
                                  <w:divBdr>
                                    <w:top w:val="none" w:sz="0" w:space="0" w:color="auto"/>
                                    <w:left w:val="none" w:sz="0" w:space="0" w:color="auto"/>
                                    <w:bottom w:val="none" w:sz="0" w:space="0" w:color="auto"/>
                                    <w:right w:val="none" w:sz="0" w:space="0" w:color="auto"/>
                                  </w:divBdr>
                                </w:div>
                                <w:div w:id="1509101616">
                                  <w:marLeft w:val="0"/>
                                  <w:marRight w:val="0"/>
                                  <w:marTop w:val="0"/>
                                  <w:marBottom w:val="0"/>
                                  <w:divBdr>
                                    <w:top w:val="none" w:sz="0" w:space="0" w:color="auto"/>
                                    <w:left w:val="none" w:sz="0" w:space="0" w:color="auto"/>
                                    <w:bottom w:val="none" w:sz="0" w:space="0" w:color="auto"/>
                                    <w:right w:val="none" w:sz="0" w:space="0" w:color="auto"/>
                                  </w:divBdr>
                                </w:div>
                                <w:div w:id="3637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818844">
          <w:marLeft w:val="0"/>
          <w:marRight w:val="0"/>
          <w:marTop w:val="0"/>
          <w:marBottom w:val="0"/>
          <w:divBdr>
            <w:top w:val="none" w:sz="0" w:space="0" w:color="auto"/>
            <w:left w:val="none" w:sz="0" w:space="0" w:color="auto"/>
            <w:bottom w:val="none" w:sz="0" w:space="0" w:color="auto"/>
            <w:right w:val="none" w:sz="0" w:space="0" w:color="auto"/>
          </w:divBdr>
          <w:divsChild>
            <w:div w:id="1965378440">
              <w:marLeft w:val="0"/>
              <w:marRight w:val="0"/>
              <w:marTop w:val="0"/>
              <w:marBottom w:val="0"/>
              <w:divBdr>
                <w:top w:val="none" w:sz="0" w:space="0" w:color="auto"/>
                <w:left w:val="none" w:sz="0" w:space="0" w:color="auto"/>
                <w:bottom w:val="none" w:sz="0" w:space="0" w:color="auto"/>
                <w:right w:val="none" w:sz="0" w:space="0" w:color="auto"/>
              </w:divBdr>
              <w:divsChild>
                <w:div w:id="1494449571">
                  <w:marLeft w:val="0"/>
                  <w:marRight w:val="0"/>
                  <w:marTop w:val="0"/>
                  <w:marBottom w:val="0"/>
                  <w:divBdr>
                    <w:top w:val="none" w:sz="0" w:space="0" w:color="auto"/>
                    <w:left w:val="none" w:sz="0" w:space="0" w:color="auto"/>
                    <w:bottom w:val="none" w:sz="0" w:space="0" w:color="auto"/>
                    <w:right w:val="none" w:sz="0" w:space="0" w:color="auto"/>
                  </w:divBdr>
                  <w:divsChild>
                    <w:div w:id="756486201">
                      <w:marLeft w:val="0"/>
                      <w:marRight w:val="0"/>
                      <w:marTop w:val="0"/>
                      <w:marBottom w:val="0"/>
                      <w:divBdr>
                        <w:top w:val="none" w:sz="0" w:space="0" w:color="auto"/>
                        <w:left w:val="none" w:sz="0" w:space="0" w:color="auto"/>
                        <w:bottom w:val="none" w:sz="0" w:space="0" w:color="auto"/>
                        <w:right w:val="none" w:sz="0" w:space="0" w:color="auto"/>
                      </w:divBdr>
                      <w:divsChild>
                        <w:div w:id="731998460">
                          <w:marLeft w:val="0"/>
                          <w:marRight w:val="0"/>
                          <w:marTop w:val="0"/>
                          <w:marBottom w:val="0"/>
                          <w:divBdr>
                            <w:top w:val="none" w:sz="0" w:space="0" w:color="auto"/>
                            <w:left w:val="none" w:sz="0" w:space="0" w:color="auto"/>
                            <w:bottom w:val="none" w:sz="0" w:space="0" w:color="auto"/>
                            <w:right w:val="none" w:sz="0" w:space="0" w:color="auto"/>
                          </w:divBdr>
                          <w:divsChild>
                            <w:div w:id="1018190929">
                              <w:marLeft w:val="0"/>
                              <w:marRight w:val="0"/>
                              <w:marTop w:val="0"/>
                              <w:marBottom w:val="0"/>
                              <w:divBdr>
                                <w:top w:val="none" w:sz="0" w:space="0" w:color="auto"/>
                                <w:left w:val="none" w:sz="0" w:space="0" w:color="auto"/>
                                <w:bottom w:val="none" w:sz="0" w:space="0" w:color="auto"/>
                                <w:right w:val="none" w:sz="0" w:space="0" w:color="auto"/>
                              </w:divBdr>
                              <w:divsChild>
                                <w:div w:id="603880445">
                                  <w:marLeft w:val="0"/>
                                  <w:marRight w:val="0"/>
                                  <w:marTop w:val="0"/>
                                  <w:marBottom w:val="0"/>
                                  <w:divBdr>
                                    <w:top w:val="none" w:sz="0" w:space="0" w:color="auto"/>
                                    <w:left w:val="none" w:sz="0" w:space="0" w:color="auto"/>
                                    <w:bottom w:val="none" w:sz="0" w:space="0" w:color="auto"/>
                                    <w:right w:val="none" w:sz="0" w:space="0" w:color="auto"/>
                                  </w:divBdr>
                                  <w:divsChild>
                                    <w:div w:id="454251370">
                                      <w:marLeft w:val="0"/>
                                      <w:marRight w:val="0"/>
                                      <w:marTop w:val="0"/>
                                      <w:marBottom w:val="0"/>
                                      <w:divBdr>
                                        <w:top w:val="none" w:sz="0" w:space="0" w:color="auto"/>
                                        <w:left w:val="none" w:sz="0" w:space="0" w:color="auto"/>
                                        <w:bottom w:val="none" w:sz="0" w:space="0" w:color="auto"/>
                                        <w:right w:val="none" w:sz="0" w:space="0" w:color="auto"/>
                                      </w:divBdr>
                                      <w:divsChild>
                                        <w:div w:id="778455469">
                                          <w:marLeft w:val="0"/>
                                          <w:marRight w:val="0"/>
                                          <w:marTop w:val="0"/>
                                          <w:marBottom w:val="0"/>
                                          <w:divBdr>
                                            <w:top w:val="none" w:sz="0" w:space="0" w:color="auto"/>
                                            <w:left w:val="none" w:sz="0" w:space="0" w:color="auto"/>
                                            <w:bottom w:val="none" w:sz="0" w:space="0" w:color="auto"/>
                                            <w:right w:val="none" w:sz="0" w:space="0" w:color="auto"/>
                                          </w:divBdr>
                                          <w:divsChild>
                                            <w:div w:id="2013875563">
                                              <w:marLeft w:val="0"/>
                                              <w:marRight w:val="0"/>
                                              <w:marTop w:val="0"/>
                                              <w:marBottom w:val="0"/>
                                              <w:divBdr>
                                                <w:top w:val="none" w:sz="0" w:space="0" w:color="auto"/>
                                                <w:left w:val="none" w:sz="0" w:space="0" w:color="auto"/>
                                                <w:bottom w:val="none" w:sz="0" w:space="0" w:color="auto"/>
                                                <w:right w:val="none" w:sz="0" w:space="0" w:color="auto"/>
                                              </w:divBdr>
                                              <w:divsChild>
                                                <w:div w:id="583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116316">
      <w:bodyDiv w:val="1"/>
      <w:marLeft w:val="0"/>
      <w:marRight w:val="0"/>
      <w:marTop w:val="0"/>
      <w:marBottom w:val="0"/>
      <w:divBdr>
        <w:top w:val="none" w:sz="0" w:space="0" w:color="auto"/>
        <w:left w:val="none" w:sz="0" w:space="0" w:color="auto"/>
        <w:bottom w:val="none" w:sz="0" w:space="0" w:color="auto"/>
        <w:right w:val="none" w:sz="0" w:space="0" w:color="auto"/>
      </w:divBdr>
      <w:divsChild>
        <w:div w:id="443887771">
          <w:marLeft w:val="0"/>
          <w:marRight w:val="0"/>
          <w:marTop w:val="0"/>
          <w:marBottom w:val="0"/>
          <w:divBdr>
            <w:top w:val="none" w:sz="0" w:space="0" w:color="auto"/>
            <w:left w:val="none" w:sz="0" w:space="0" w:color="auto"/>
            <w:bottom w:val="none" w:sz="0" w:space="0" w:color="auto"/>
            <w:right w:val="none" w:sz="0" w:space="0" w:color="auto"/>
          </w:divBdr>
          <w:divsChild>
            <w:div w:id="930115836">
              <w:marLeft w:val="0"/>
              <w:marRight w:val="0"/>
              <w:marTop w:val="0"/>
              <w:marBottom w:val="0"/>
              <w:divBdr>
                <w:top w:val="none" w:sz="0" w:space="0" w:color="auto"/>
                <w:left w:val="none" w:sz="0" w:space="0" w:color="auto"/>
                <w:bottom w:val="none" w:sz="0" w:space="0" w:color="auto"/>
                <w:right w:val="none" w:sz="0" w:space="0" w:color="auto"/>
              </w:divBdr>
              <w:divsChild>
                <w:div w:id="207962618">
                  <w:marLeft w:val="0"/>
                  <w:marRight w:val="0"/>
                  <w:marTop w:val="0"/>
                  <w:marBottom w:val="0"/>
                  <w:divBdr>
                    <w:top w:val="none" w:sz="0" w:space="0" w:color="auto"/>
                    <w:left w:val="none" w:sz="0" w:space="0" w:color="auto"/>
                    <w:bottom w:val="none" w:sz="0" w:space="0" w:color="auto"/>
                    <w:right w:val="none" w:sz="0" w:space="0" w:color="auto"/>
                  </w:divBdr>
                  <w:divsChild>
                    <w:div w:id="653535008">
                      <w:marLeft w:val="0"/>
                      <w:marRight w:val="0"/>
                      <w:marTop w:val="0"/>
                      <w:marBottom w:val="0"/>
                      <w:divBdr>
                        <w:top w:val="none" w:sz="0" w:space="0" w:color="auto"/>
                        <w:left w:val="none" w:sz="0" w:space="0" w:color="auto"/>
                        <w:bottom w:val="none" w:sz="0" w:space="0" w:color="auto"/>
                        <w:right w:val="none" w:sz="0" w:space="0" w:color="auto"/>
                      </w:divBdr>
                      <w:divsChild>
                        <w:div w:id="445858028">
                          <w:marLeft w:val="0"/>
                          <w:marRight w:val="0"/>
                          <w:marTop w:val="0"/>
                          <w:marBottom w:val="0"/>
                          <w:divBdr>
                            <w:top w:val="none" w:sz="0" w:space="0" w:color="auto"/>
                            <w:left w:val="none" w:sz="0" w:space="0" w:color="auto"/>
                            <w:bottom w:val="none" w:sz="0" w:space="0" w:color="auto"/>
                            <w:right w:val="none" w:sz="0" w:space="0" w:color="auto"/>
                          </w:divBdr>
                          <w:divsChild>
                            <w:div w:id="1147933591">
                              <w:marLeft w:val="0"/>
                              <w:marRight w:val="0"/>
                              <w:marTop w:val="0"/>
                              <w:marBottom w:val="0"/>
                              <w:divBdr>
                                <w:top w:val="none" w:sz="0" w:space="0" w:color="auto"/>
                                <w:left w:val="none" w:sz="0" w:space="0" w:color="auto"/>
                                <w:bottom w:val="none" w:sz="0" w:space="0" w:color="auto"/>
                                <w:right w:val="none" w:sz="0" w:space="0" w:color="auto"/>
                              </w:divBdr>
                              <w:divsChild>
                                <w:div w:id="223874347">
                                  <w:marLeft w:val="0"/>
                                  <w:marRight w:val="0"/>
                                  <w:marTop w:val="0"/>
                                  <w:marBottom w:val="0"/>
                                  <w:divBdr>
                                    <w:top w:val="none" w:sz="0" w:space="0" w:color="auto"/>
                                    <w:left w:val="none" w:sz="0" w:space="0" w:color="auto"/>
                                    <w:bottom w:val="none" w:sz="0" w:space="0" w:color="auto"/>
                                    <w:right w:val="none" w:sz="0" w:space="0" w:color="auto"/>
                                  </w:divBdr>
                                </w:div>
                                <w:div w:id="918952398">
                                  <w:marLeft w:val="0"/>
                                  <w:marRight w:val="0"/>
                                  <w:marTop w:val="0"/>
                                  <w:marBottom w:val="0"/>
                                  <w:divBdr>
                                    <w:top w:val="none" w:sz="0" w:space="0" w:color="auto"/>
                                    <w:left w:val="none" w:sz="0" w:space="0" w:color="auto"/>
                                    <w:bottom w:val="none" w:sz="0" w:space="0" w:color="auto"/>
                                    <w:right w:val="none" w:sz="0" w:space="0" w:color="auto"/>
                                  </w:divBdr>
                                </w:div>
                                <w:div w:id="45377389">
                                  <w:marLeft w:val="0"/>
                                  <w:marRight w:val="0"/>
                                  <w:marTop w:val="0"/>
                                  <w:marBottom w:val="0"/>
                                  <w:divBdr>
                                    <w:top w:val="none" w:sz="0" w:space="0" w:color="auto"/>
                                    <w:left w:val="none" w:sz="0" w:space="0" w:color="auto"/>
                                    <w:bottom w:val="none" w:sz="0" w:space="0" w:color="auto"/>
                                    <w:right w:val="none" w:sz="0" w:space="0" w:color="auto"/>
                                  </w:divBdr>
                                </w:div>
                                <w:div w:id="1613659939">
                                  <w:marLeft w:val="0"/>
                                  <w:marRight w:val="0"/>
                                  <w:marTop w:val="0"/>
                                  <w:marBottom w:val="0"/>
                                  <w:divBdr>
                                    <w:top w:val="none" w:sz="0" w:space="0" w:color="auto"/>
                                    <w:left w:val="none" w:sz="0" w:space="0" w:color="auto"/>
                                    <w:bottom w:val="none" w:sz="0" w:space="0" w:color="auto"/>
                                    <w:right w:val="none" w:sz="0" w:space="0" w:color="auto"/>
                                  </w:divBdr>
                                </w:div>
                                <w:div w:id="33623045">
                                  <w:marLeft w:val="0"/>
                                  <w:marRight w:val="0"/>
                                  <w:marTop w:val="0"/>
                                  <w:marBottom w:val="0"/>
                                  <w:divBdr>
                                    <w:top w:val="none" w:sz="0" w:space="0" w:color="auto"/>
                                    <w:left w:val="none" w:sz="0" w:space="0" w:color="auto"/>
                                    <w:bottom w:val="none" w:sz="0" w:space="0" w:color="auto"/>
                                    <w:right w:val="none" w:sz="0" w:space="0" w:color="auto"/>
                                  </w:divBdr>
                                </w:div>
                                <w:div w:id="3935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544170">
          <w:marLeft w:val="0"/>
          <w:marRight w:val="0"/>
          <w:marTop w:val="0"/>
          <w:marBottom w:val="0"/>
          <w:divBdr>
            <w:top w:val="none" w:sz="0" w:space="0" w:color="auto"/>
            <w:left w:val="none" w:sz="0" w:space="0" w:color="auto"/>
            <w:bottom w:val="none" w:sz="0" w:space="0" w:color="auto"/>
            <w:right w:val="none" w:sz="0" w:space="0" w:color="auto"/>
          </w:divBdr>
          <w:divsChild>
            <w:div w:id="889995334">
              <w:marLeft w:val="0"/>
              <w:marRight w:val="0"/>
              <w:marTop w:val="0"/>
              <w:marBottom w:val="0"/>
              <w:divBdr>
                <w:top w:val="none" w:sz="0" w:space="0" w:color="auto"/>
                <w:left w:val="none" w:sz="0" w:space="0" w:color="auto"/>
                <w:bottom w:val="none" w:sz="0" w:space="0" w:color="auto"/>
                <w:right w:val="none" w:sz="0" w:space="0" w:color="auto"/>
              </w:divBdr>
              <w:divsChild>
                <w:div w:id="1437629470">
                  <w:marLeft w:val="0"/>
                  <w:marRight w:val="0"/>
                  <w:marTop w:val="0"/>
                  <w:marBottom w:val="0"/>
                  <w:divBdr>
                    <w:top w:val="none" w:sz="0" w:space="0" w:color="auto"/>
                    <w:left w:val="none" w:sz="0" w:space="0" w:color="auto"/>
                    <w:bottom w:val="none" w:sz="0" w:space="0" w:color="auto"/>
                    <w:right w:val="none" w:sz="0" w:space="0" w:color="auto"/>
                  </w:divBdr>
                  <w:divsChild>
                    <w:div w:id="1684896135">
                      <w:marLeft w:val="0"/>
                      <w:marRight w:val="0"/>
                      <w:marTop w:val="0"/>
                      <w:marBottom w:val="0"/>
                      <w:divBdr>
                        <w:top w:val="none" w:sz="0" w:space="0" w:color="auto"/>
                        <w:left w:val="none" w:sz="0" w:space="0" w:color="auto"/>
                        <w:bottom w:val="none" w:sz="0" w:space="0" w:color="auto"/>
                        <w:right w:val="none" w:sz="0" w:space="0" w:color="auto"/>
                      </w:divBdr>
                      <w:divsChild>
                        <w:div w:id="441416325">
                          <w:marLeft w:val="0"/>
                          <w:marRight w:val="0"/>
                          <w:marTop w:val="0"/>
                          <w:marBottom w:val="0"/>
                          <w:divBdr>
                            <w:top w:val="none" w:sz="0" w:space="0" w:color="auto"/>
                            <w:left w:val="none" w:sz="0" w:space="0" w:color="auto"/>
                            <w:bottom w:val="none" w:sz="0" w:space="0" w:color="auto"/>
                            <w:right w:val="none" w:sz="0" w:space="0" w:color="auto"/>
                          </w:divBdr>
                          <w:divsChild>
                            <w:div w:id="1308779694">
                              <w:marLeft w:val="0"/>
                              <w:marRight w:val="0"/>
                              <w:marTop w:val="0"/>
                              <w:marBottom w:val="0"/>
                              <w:divBdr>
                                <w:top w:val="none" w:sz="0" w:space="0" w:color="auto"/>
                                <w:left w:val="none" w:sz="0" w:space="0" w:color="auto"/>
                                <w:bottom w:val="none" w:sz="0" w:space="0" w:color="auto"/>
                                <w:right w:val="none" w:sz="0" w:space="0" w:color="auto"/>
                              </w:divBdr>
                              <w:divsChild>
                                <w:div w:id="78257236">
                                  <w:marLeft w:val="0"/>
                                  <w:marRight w:val="0"/>
                                  <w:marTop w:val="0"/>
                                  <w:marBottom w:val="0"/>
                                  <w:divBdr>
                                    <w:top w:val="none" w:sz="0" w:space="0" w:color="auto"/>
                                    <w:left w:val="none" w:sz="0" w:space="0" w:color="auto"/>
                                    <w:bottom w:val="none" w:sz="0" w:space="0" w:color="auto"/>
                                    <w:right w:val="none" w:sz="0" w:space="0" w:color="auto"/>
                                  </w:divBdr>
                                  <w:divsChild>
                                    <w:div w:id="1942910454">
                                      <w:marLeft w:val="0"/>
                                      <w:marRight w:val="0"/>
                                      <w:marTop w:val="0"/>
                                      <w:marBottom w:val="0"/>
                                      <w:divBdr>
                                        <w:top w:val="none" w:sz="0" w:space="0" w:color="auto"/>
                                        <w:left w:val="none" w:sz="0" w:space="0" w:color="auto"/>
                                        <w:bottom w:val="none" w:sz="0" w:space="0" w:color="auto"/>
                                        <w:right w:val="none" w:sz="0" w:space="0" w:color="auto"/>
                                      </w:divBdr>
                                      <w:divsChild>
                                        <w:div w:id="1382361781">
                                          <w:marLeft w:val="0"/>
                                          <w:marRight w:val="0"/>
                                          <w:marTop w:val="0"/>
                                          <w:marBottom w:val="0"/>
                                          <w:divBdr>
                                            <w:top w:val="none" w:sz="0" w:space="0" w:color="auto"/>
                                            <w:left w:val="none" w:sz="0" w:space="0" w:color="auto"/>
                                            <w:bottom w:val="none" w:sz="0" w:space="0" w:color="auto"/>
                                            <w:right w:val="none" w:sz="0" w:space="0" w:color="auto"/>
                                          </w:divBdr>
                                          <w:divsChild>
                                            <w:div w:id="1068190567">
                                              <w:marLeft w:val="0"/>
                                              <w:marRight w:val="0"/>
                                              <w:marTop w:val="0"/>
                                              <w:marBottom w:val="0"/>
                                              <w:divBdr>
                                                <w:top w:val="none" w:sz="0" w:space="0" w:color="auto"/>
                                                <w:left w:val="none" w:sz="0" w:space="0" w:color="auto"/>
                                                <w:bottom w:val="none" w:sz="0" w:space="0" w:color="auto"/>
                                                <w:right w:val="none" w:sz="0" w:space="0" w:color="auto"/>
                                              </w:divBdr>
                                              <w:divsChild>
                                                <w:div w:id="9377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1319</Words>
  <Characters>7522</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BELKA</dc:creator>
  <cp:lastModifiedBy>pc</cp:lastModifiedBy>
  <cp:revision>3</cp:revision>
  <dcterms:created xsi:type="dcterms:W3CDTF">2026-02-25T21:00:00Z</dcterms:created>
  <dcterms:modified xsi:type="dcterms:W3CDTF">2026-02-26T22:31:00Z</dcterms:modified>
</cp:coreProperties>
</file>