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09" w:rsidRDefault="00A13AD3">
      <w:pPr>
        <w:jc w:val="center"/>
        <w:rPr>
          <w:b/>
          <w:bCs/>
          <w:color w:val="FF0000"/>
          <w:sz w:val="36"/>
          <w:szCs w:val="36"/>
        </w:rPr>
      </w:pPr>
      <w:bookmarkStart w:id="0" w:name="_GoBack"/>
      <w:bookmarkEnd w:id="0"/>
      <w:r>
        <w:rPr>
          <w:b/>
          <w:bCs/>
          <w:color w:val="FF0000"/>
          <w:sz w:val="36"/>
          <w:szCs w:val="36"/>
        </w:rPr>
        <w:t>Les effets de la kétamine et de l’</w:t>
      </w:r>
      <w:proofErr w:type="spellStart"/>
      <w:r>
        <w:rPr>
          <w:b/>
          <w:bCs/>
          <w:color w:val="FF0000"/>
          <w:sz w:val="36"/>
          <w:szCs w:val="36"/>
        </w:rPr>
        <w:t>eskétamine</w:t>
      </w:r>
      <w:proofErr w:type="spellEnd"/>
      <w:r>
        <w:rPr>
          <w:b/>
          <w:bCs/>
          <w:color w:val="FF0000"/>
          <w:sz w:val="36"/>
          <w:szCs w:val="36"/>
        </w:rPr>
        <w:t xml:space="preserve"> sur les résultats fonctionnels dans la dépression majeure et la dépression résistante au traitement : une revue systématique</w:t>
      </w:r>
    </w:p>
    <w:p w:rsidR="00E94109" w:rsidRDefault="00E94109">
      <w:pPr>
        <w:jc w:val="center"/>
      </w:pPr>
    </w:p>
    <w:p w:rsidR="00E94109" w:rsidRDefault="00A13AD3">
      <w:pPr>
        <w:jc w:val="center"/>
      </w:pPr>
      <w:r>
        <w:rPr>
          <w:rStyle w:val="Policepardfaut"/>
          <w:noProof/>
          <w:lang w:eastAsia="fr-FR"/>
        </w:rPr>
        <w:drawing>
          <wp:inline distT="0" distB="0" distL="0" distR="0">
            <wp:extent cx="5760720" cy="211518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2115180"/>
                    </a:xfrm>
                    <a:prstGeom prst="rect">
                      <a:avLst/>
                    </a:prstGeom>
                    <a:noFill/>
                    <a:ln>
                      <a:noFill/>
                      <a:prstDash/>
                    </a:ln>
                  </pic:spPr>
                </pic:pic>
              </a:graphicData>
            </a:graphic>
          </wp:inline>
        </w:drawing>
      </w:r>
    </w:p>
    <w:p w:rsidR="00E94109" w:rsidRDefault="00A13AD3">
      <w:pPr>
        <w:jc w:val="both"/>
        <w:rPr>
          <w:rFonts w:cs="Browallia New"/>
          <w:b/>
          <w:bCs/>
          <w:color w:val="FF0000"/>
          <w:sz w:val="32"/>
          <w:szCs w:val="32"/>
          <w:u w:val="single"/>
        </w:rPr>
      </w:pPr>
      <w:r>
        <w:rPr>
          <w:rFonts w:cs="Browallia New"/>
          <w:b/>
          <w:bCs/>
          <w:color w:val="FF0000"/>
          <w:sz w:val="32"/>
          <w:szCs w:val="32"/>
          <w:u w:val="single"/>
        </w:rPr>
        <w:t>Introduction :</w:t>
      </w:r>
    </w:p>
    <w:p w:rsidR="00E94109" w:rsidRDefault="00A13AD3">
      <w:pPr>
        <w:jc w:val="both"/>
        <w:rPr>
          <w:rFonts w:eastAsia="Times New Roman" w:cs="Browallia New"/>
          <w:kern w:val="0"/>
          <w:sz w:val="24"/>
          <w:szCs w:val="24"/>
          <w:lang w:eastAsia="fr-FR"/>
        </w:rPr>
      </w:pPr>
      <w:r>
        <w:rPr>
          <w:rFonts w:eastAsia="Times New Roman" w:cs="Browallia New"/>
          <w:kern w:val="0"/>
          <w:sz w:val="24"/>
          <w:szCs w:val="24"/>
          <w:lang w:eastAsia="fr-FR"/>
        </w:rPr>
        <w:t>Le trouble dépressif majeur constitue l’une des principales causes d’incapacité dans le monde, touchant environ 300 millions de personnes et altérant fortement le fonctionnement quotidien. Son impact socio-économique est majeur, avec des per</w:t>
      </w:r>
      <w:r>
        <w:rPr>
          <w:rFonts w:eastAsia="Times New Roman" w:cs="Browallia New"/>
          <w:kern w:val="0"/>
          <w:sz w:val="24"/>
          <w:szCs w:val="24"/>
          <w:lang w:eastAsia="fr-FR"/>
        </w:rPr>
        <w:t>tes considérables de productivité professionnelle représentant un fardeau financier mondial très élevé.</w:t>
      </w:r>
    </w:p>
    <w:p w:rsidR="00E94109" w:rsidRDefault="00A13AD3">
      <w:pPr>
        <w:jc w:val="both"/>
        <w:rPr>
          <w:rFonts w:eastAsia="Times New Roman" w:cs="Browallia New"/>
          <w:kern w:val="0"/>
          <w:sz w:val="24"/>
          <w:szCs w:val="24"/>
          <w:lang w:eastAsia="fr-FR"/>
        </w:rPr>
      </w:pPr>
      <w:r>
        <w:rPr>
          <w:rFonts w:eastAsia="Times New Roman" w:cs="Browallia New"/>
          <w:kern w:val="0"/>
          <w:sz w:val="24"/>
          <w:szCs w:val="24"/>
          <w:lang w:eastAsia="fr-FR"/>
        </w:rPr>
        <w:t xml:space="preserve">Malgré l’efficacité des antidépresseurs classiques, près de 30 % des patients présentent une dépression résistante au traitement, </w:t>
      </w:r>
      <w:proofErr w:type="gramStart"/>
      <w:r>
        <w:rPr>
          <w:rFonts w:eastAsia="Times New Roman" w:cs="Browallia New"/>
          <w:kern w:val="0"/>
          <w:sz w:val="24"/>
          <w:szCs w:val="24"/>
          <w:lang w:eastAsia="fr-FR"/>
        </w:rPr>
        <w:t>définie</w:t>
      </w:r>
      <w:proofErr w:type="gramEnd"/>
      <w:r>
        <w:rPr>
          <w:rFonts w:eastAsia="Times New Roman" w:cs="Browallia New"/>
          <w:kern w:val="0"/>
          <w:sz w:val="24"/>
          <w:szCs w:val="24"/>
          <w:lang w:eastAsia="fr-FR"/>
        </w:rPr>
        <w:t xml:space="preserve"> par l’absence </w:t>
      </w:r>
      <w:r>
        <w:rPr>
          <w:rFonts w:eastAsia="Times New Roman" w:cs="Browallia New"/>
          <w:kern w:val="0"/>
          <w:sz w:val="24"/>
          <w:szCs w:val="24"/>
          <w:lang w:eastAsia="fr-FR"/>
        </w:rPr>
        <w:t>de réponse à au moins deux antidépresseurs bien conduits. Cette forme de dépression est associée à un risque accru de suicide, à une mortalité plus élevée et à un retentissement important sur les aidants, soulignant la nécessité de nouvelles options thérap</w:t>
      </w:r>
      <w:r>
        <w:rPr>
          <w:rFonts w:eastAsia="Times New Roman" w:cs="Browallia New"/>
          <w:kern w:val="0"/>
          <w:sz w:val="24"/>
          <w:szCs w:val="24"/>
          <w:lang w:eastAsia="fr-FR"/>
        </w:rPr>
        <w:t>eutiques.</w:t>
      </w:r>
    </w:p>
    <w:p w:rsidR="00E94109" w:rsidRDefault="00A13AD3">
      <w:pPr>
        <w:jc w:val="both"/>
        <w:rPr>
          <w:rFonts w:eastAsia="Times New Roman" w:cs="Browallia New"/>
          <w:kern w:val="0"/>
          <w:sz w:val="24"/>
          <w:szCs w:val="24"/>
          <w:lang w:eastAsia="fr-FR"/>
        </w:rPr>
      </w:pPr>
      <w:r>
        <w:rPr>
          <w:rFonts w:eastAsia="Times New Roman" w:cs="Browallia New"/>
          <w:kern w:val="0"/>
          <w:sz w:val="24"/>
          <w:szCs w:val="24"/>
          <w:lang w:eastAsia="fr-FR"/>
        </w:rPr>
        <w:t>Dans ce contexte, la kétamine intraveineuse, antagoniste des récepteurs NMDA, a démontré un effet antidépresseur rapide chez les patients résistants, avec une amélioration parfois observée en quelques heures. L’</w:t>
      </w:r>
      <w:proofErr w:type="spellStart"/>
      <w:r>
        <w:rPr>
          <w:rFonts w:eastAsia="Times New Roman" w:cs="Browallia New"/>
          <w:kern w:val="0"/>
          <w:sz w:val="24"/>
          <w:szCs w:val="24"/>
          <w:lang w:eastAsia="fr-FR"/>
        </w:rPr>
        <w:t>eskétamine</w:t>
      </w:r>
      <w:proofErr w:type="spellEnd"/>
      <w:r>
        <w:rPr>
          <w:rFonts w:eastAsia="Times New Roman" w:cs="Browallia New"/>
          <w:kern w:val="0"/>
          <w:sz w:val="24"/>
          <w:szCs w:val="24"/>
          <w:lang w:eastAsia="fr-FR"/>
        </w:rPr>
        <w:t>, énantiomère de la kétam</w:t>
      </w:r>
      <w:r>
        <w:rPr>
          <w:rFonts w:eastAsia="Times New Roman" w:cs="Browallia New"/>
          <w:kern w:val="0"/>
          <w:sz w:val="24"/>
          <w:szCs w:val="24"/>
          <w:lang w:eastAsia="fr-FR"/>
        </w:rPr>
        <w:t>ine, a été développée afin d’améliorer la tolérance et la précision posologique et dispose d’une autorisation dans la dépression résistante ainsi que dans les épisodes dépressifs avec risque suicidaire imminent.</w:t>
      </w:r>
    </w:p>
    <w:p w:rsidR="00E94109" w:rsidRDefault="00A13AD3">
      <w:pPr>
        <w:jc w:val="both"/>
        <w:rPr>
          <w:rFonts w:eastAsia="Times New Roman" w:cs="Browallia New"/>
          <w:kern w:val="0"/>
          <w:sz w:val="24"/>
          <w:szCs w:val="24"/>
          <w:lang w:eastAsia="fr-FR"/>
        </w:rPr>
      </w:pPr>
      <w:r>
        <w:rPr>
          <w:rFonts w:eastAsia="Times New Roman" w:cs="Browallia New"/>
          <w:kern w:val="0"/>
          <w:sz w:val="24"/>
          <w:szCs w:val="24"/>
          <w:lang w:eastAsia="fr-FR"/>
        </w:rPr>
        <w:t>Toutefois, si l’efficacité de la kétamine et</w:t>
      </w:r>
      <w:r>
        <w:rPr>
          <w:rFonts w:eastAsia="Times New Roman" w:cs="Browallia New"/>
          <w:kern w:val="0"/>
          <w:sz w:val="24"/>
          <w:szCs w:val="24"/>
          <w:lang w:eastAsia="fr-FR"/>
        </w:rPr>
        <w:t xml:space="preserve"> de l’</w:t>
      </w:r>
      <w:proofErr w:type="spellStart"/>
      <w:r>
        <w:rPr>
          <w:rFonts w:eastAsia="Times New Roman" w:cs="Browallia New"/>
          <w:kern w:val="0"/>
          <w:sz w:val="24"/>
          <w:szCs w:val="24"/>
          <w:lang w:eastAsia="fr-FR"/>
        </w:rPr>
        <w:t>eskétamine</w:t>
      </w:r>
      <w:proofErr w:type="spellEnd"/>
      <w:r>
        <w:rPr>
          <w:rFonts w:eastAsia="Times New Roman" w:cs="Browallia New"/>
          <w:kern w:val="0"/>
          <w:sz w:val="24"/>
          <w:szCs w:val="24"/>
          <w:lang w:eastAsia="fr-FR"/>
        </w:rPr>
        <w:t xml:space="preserve"> sur les symptômes thymiques est bien établie, leurs effets sur le rétablissement fonctionnel et psychosocial demeurent insuffisamment documentés. Or, les critères rapportés par les patients tels que la qualité de vie, le fonctionnement soc</w:t>
      </w:r>
      <w:r>
        <w:rPr>
          <w:rFonts w:eastAsia="Times New Roman" w:cs="Browallia New"/>
          <w:kern w:val="0"/>
          <w:sz w:val="24"/>
          <w:szCs w:val="24"/>
          <w:lang w:eastAsia="fr-FR"/>
        </w:rPr>
        <w:t>ial et la productivité sont désormais considérés comme des objectifs thérapeutiques majeurs, en particulier dans les formes résistantes.</w:t>
      </w:r>
    </w:p>
    <w:p w:rsidR="00E94109" w:rsidRDefault="00A13AD3">
      <w:pPr>
        <w:jc w:val="both"/>
        <w:rPr>
          <w:rFonts w:eastAsia="Times New Roman" w:cs="Browallia New"/>
          <w:kern w:val="0"/>
          <w:sz w:val="24"/>
          <w:szCs w:val="24"/>
          <w:lang w:eastAsia="fr-FR"/>
        </w:rPr>
      </w:pPr>
      <w:r>
        <w:rPr>
          <w:rFonts w:eastAsia="Times New Roman" w:cs="Browallia New"/>
          <w:kern w:val="0"/>
          <w:sz w:val="24"/>
          <w:szCs w:val="24"/>
          <w:lang w:eastAsia="fr-FR"/>
        </w:rPr>
        <w:lastRenderedPageBreak/>
        <w:t>Dans un contexte d’utilisation clinique croissante de ces traitements, cette revue vise à actualiser les données concer</w:t>
      </w:r>
      <w:r>
        <w:rPr>
          <w:rFonts w:eastAsia="Times New Roman" w:cs="Browallia New"/>
          <w:kern w:val="0"/>
          <w:sz w:val="24"/>
          <w:szCs w:val="24"/>
          <w:lang w:eastAsia="fr-FR"/>
        </w:rPr>
        <w:t>nant leurs effets sur le fonctionnement des patients atteints de dépression majeure et de dépression résistante.</w:t>
      </w:r>
    </w:p>
    <w:p w:rsidR="00E94109" w:rsidRDefault="00A13AD3">
      <w:pPr>
        <w:rPr>
          <w:rFonts w:cs="Browallia New"/>
          <w:b/>
          <w:bCs/>
          <w:color w:val="FF0000"/>
          <w:sz w:val="32"/>
          <w:szCs w:val="32"/>
          <w:u w:val="single"/>
        </w:rPr>
      </w:pPr>
      <w:r>
        <w:rPr>
          <w:rFonts w:cs="Browallia New"/>
          <w:b/>
          <w:bCs/>
          <w:color w:val="FF0000"/>
          <w:sz w:val="32"/>
          <w:szCs w:val="32"/>
          <w:u w:val="single"/>
        </w:rPr>
        <w:t>Méthodes :</w:t>
      </w:r>
    </w:p>
    <w:p w:rsidR="00E94109" w:rsidRDefault="00A13AD3">
      <w:pPr>
        <w:jc w:val="both"/>
        <w:rPr>
          <w:rFonts w:cs="Browallia New"/>
          <w:sz w:val="24"/>
          <w:szCs w:val="24"/>
        </w:rPr>
      </w:pPr>
      <w:r>
        <w:rPr>
          <w:rFonts w:cs="Browallia New"/>
          <w:sz w:val="24"/>
          <w:szCs w:val="24"/>
        </w:rPr>
        <w:t>Une revue systématique a été conduite conformément aux recommandations PRISMA 2020. La recherche bibliographique a été réalisée dans</w:t>
      </w:r>
      <w:r>
        <w:rPr>
          <w:rFonts w:cs="Browallia New"/>
          <w:sz w:val="24"/>
          <w:szCs w:val="24"/>
        </w:rPr>
        <w:t xml:space="preserve"> les bases de données </w:t>
      </w:r>
      <w:proofErr w:type="spellStart"/>
      <w:r>
        <w:rPr>
          <w:rFonts w:cs="Browallia New"/>
          <w:sz w:val="24"/>
          <w:szCs w:val="24"/>
        </w:rPr>
        <w:t>PubMed</w:t>
      </w:r>
      <w:proofErr w:type="spellEnd"/>
      <w:r>
        <w:rPr>
          <w:rFonts w:cs="Browallia New"/>
          <w:sz w:val="24"/>
          <w:szCs w:val="24"/>
        </w:rPr>
        <w:t xml:space="preserve">, Embase et </w:t>
      </w:r>
      <w:proofErr w:type="spellStart"/>
      <w:r>
        <w:rPr>
          <w:rFonts w:cs="Browallia New"/>
          <w:sz w:val="24"/>
          <w:szCs w:val="24"/>
        </w:rPr>
        <w:t>PsycInfo</w:t>
      </w:r>
      <w:proofErr w:type="spellEnd"/>
      <w:r>
        <w:rPr>
          <w:rFonts w:cs="Browallia New"/>
          <w:sz w:val="24"/>
          <w:szCs w:val="24"/>
        </w:rPr>
        <w:t xml:space="preserve"> depuis leur création jusqu’au 1er février 2025, à l’aide de mots-clés relatifs à la kétamine/</w:t>
      </w:r>
      <w:proofErr w:type="spellStart"/>
      <w:r>
        <w:rPr>
          <w:rFonts w:cs="Browallia New"/>
          <w:sz w:val="24"/>
          <w:szCs w:val="24"/>
        </w:rPr>
        <w:t>eskétamine</w:t>
      </w:r>
      <w:proofErr w:type="spellEnd"/>
      <w:r>
        <w:rPr>
          <w:rFonts w:cs="Browallia New"/>
          <w:sz w:val="24"/>
          <w:szCs w:val="24"/>
        </w:rPr>
        <w:t>, à la dépression et aux issues fonctionnelles.</w:t>
      </w:r>
    </w:p>
    <w:p w:rsidR="00E94109" w:rsidRDefault="00A13AD3">
      <w:pPr>
        <w:jc w:val="both"/>
      </w:pPr>
      <w:r>
        <w:rPr>
          <w:rStyle w:val="Policepardfaut"/>
          <w:rFonts w:cs="Browallia New"/>
          <w:sz w:val="24"/>
          <w:szCs w:val="24"/>
        </w:rPr>
        <w:t>La sélection des études a été effectuée indépendamment p</w:t>
      </w:r>
      <w:r>
        <w:rPr>
          <w:rStyle w:val="Policepardfaut"/>
          <w:rFonts w:cs="Browallia New"/>
          <w:sz w:val="24"/>
          <w:szCs w:val="24"/>
        </w:rPr>
        <w:t>ar deux évaluateurs selon des critères prédéfinis. Ont été inclus les essais contrôlés randomisés portant sur des adultes (</w:t>
      </w:r>
      <w:r>
        <w:rPr>
          <w:rStyle w:val="Policepardfaut"/>
          <w:rFonts w:cs="Cambria Math"/>
          <w:sz w:val="24"/>
          <w:szCs w:val="24"/>
        </w:rPr>
        <w:t>≥</w:t>
      </w:r>
      <w:r>
        <w:rPr>
          <w:rStyle w:val="Policepardfaut"/>
          <w:rFonts w:cs="Browallia New"/>
          <w:sz w:val="24"/>
          <w:szCs w:val="24"/>
        </w:rPr>
        <w:t xml:space="preserve"> 18 ans) atteints de trouble dépressif majeur ou de dépression résistante, évaluant la kétamine (ou ses formes) ou l’</w:t>
      </w:r>
      <w:proofErr w:type="spellStart"/>
      <w:r>
        <w:rPr>
          <w:rStyle w:val="Policepardfaut"/>
          <w:rFonts w:cs="Browallia New"/>
          <w:sz w:val="24"/>
          <w:szCs w:val="24"/>
        </w:rPr>
        <w:t>eskétamine</w:t>
      </w:r>
      <w:proofErr w:type="spellEnd"/>
      <w:r>
        <w:rPr>
          <w:rStyle w:val="Policepardfaut"/>
          <w:rFonts w:cs="Browallia New"/>
          <w:sz w:val="24"/>
          <w:szCs w:val="24"/>
        </w:rPr>
        <w:t>, ave</w:t>
      </w:r>
      <w:r>
        <w:rPr>
          <w:rStyle w:val="Policepardfaut"/>
          <w:rFonts w:cs="Browallia New"/>
          <w:sz w:val="24"/>
          <w:szCs w:val="24"/>
        </w:rPr>
        <w:t>c un groupe comparateur approprié (placebo ou traitement actif) et rapportant des critères de fonctionnement (fonction sociale, professionnelle ou psychosociale).</w:t>
      </w:r>
    </w:p>
    <w:p w:rsidR="00E94109" w:rsidRDefault="00A13AD3">
      <w:pPr>
        <w:jc w:val="both"/>
        <w:rPr>
          <w:rFonts w:cs="Browallia New"/>
          <w:sz w:val="24"/>
          <w:szCs w:val="24"/>
        </w:rPr>
      </w:pPr>
      <w:r>
        <w:rPr>
          <w:rFonts w:cs="Browallia New"/>
          <w:sz w:val="24"/>
          <w:szCs w:val="24"/>
        </w:rPr>
        <w:t>Ont été exclus les travaux portant sur d’autres troubles psychiatriques, les études non rando</w:t>
      </w:r>
      <w:r>
        <w:rPr>
          <w:rFonts w:cs="Browallia New"/>
          <w:sz w:val="24"/>
          <w:szCs w:val="24"/>
        </w:rPr>
        <w:t>misées et les études animales. Les désaccords entre évaluateurs ont été résolus par discussion.</w:t>
      </w:r>
    </w:p>
    <w:p w:rsidR="00E94109" w:rsidRDefault="00A13AD3">
      <w:pPr>
        <w:jc w:val="both"/>
        <w:rPr>
          <w:rFonts w:cs="Browallia New"/>
          <w:sz w:val="24"/>
          <w:szCs w:val="24"/>
        </w:rPr>
      </w:pPr>
      <w:r>
        <w:rPr>
          <w:rFonts w:cs="Browallia New"/>
          <w:sz w:val="24"/>
          <w:szCs w:val="24"/>
        </w:rPr>
        <w:t>L’extraction des données a été réalisée de manière indépendante à l’aide d’un formulaire standardisé, recueillant notamment les caractéristiques des participant</w:t>
      </w:r>
      <w:r>
        <w:rPr>
          <w:rFonts w:cs="Browallia New"/>
          <w:sz w:val="24"/>
          <w:szCs w:val="24"/>
        </w:rPr>
        <w:t>s, l’intervention, les échelles utilisées, les résultats principaux et les effets indésirables.</w:t>
      </w:r>
    </w:p>
    <w:p w:rsidR="00E94109" w:rsidRDefault="00A13AD3">
      <w:pPr>
        <w:jc w:val="both"/>
        <w:rPr>
          <w:rFonts w:cs="Browallia New"/>
          <w:sz w:val="24"/>
          <w:szCs w:val="24"/>
        </w:rPr>
      </w:pPr>
      <w:r>
        <w:rPr>
          <w:rFonts w:cs="Browallia New"/>
          <w:sz w:val="24"/>
          <w:szCs w:val="24"/>
        </w:rPr>
        <w:t>La qualité méthodologique des études incluses a été évaluée avec l’outil Cochrane RoB2, permettant de classer le risque de biais en faible, préoccupations possi</w:t>
      </w:r>
      <w:r>
        <w:rPr>
          <w:rFonts w:cs="Browallia New"/>
          <w:sz w:val="24"/>
          <w:szCs w:val="24"/>
        </w:rPr>
        <w:t>bles ou élevé.</w:t>
      </w:r>
    </w:p>
    <w:p w:rsidR="00E94109" w:rsidRDefault="00A13AD3">
      <w:pPr>
        <w:jc w:val="both"/>
        <w:rPr>
          <w:rFonts w:cs="Browallia New"/>
          <w:b/>
          <w:bCs/>
          <w:color w:val="FF0000"/>
          <w:sz w:val="32"/>
          <w:szCs w:val="32"/>
          <w:u w:val="single"/>
        </w:rPr>
      </w:pPr>
      <w:r>
        <w:rPr>
          <w:rFonts w:cs="Browallia New"/>
          <w:b/>
          <w:bCs/>
          <w:color w:val="FF0000"/>
          <w:sz w:val="32"/>
          <w:szCs w:val="32"/>
          <w:u w:val="single"/>
        </w:rPr>
        <w:t>Résultats :</w:t>
      </w:r>
    </w:p>
    <w:p w:rsidR="00E94109" w:rsidRDefault="00A13AD3">
      <w:pPr>
        <w:spacing w:before="100" w:after="100"/>
        <w:jc w:val="both"/>
        <w:rPr>
          <w:rFonts w:eastAsia="Times New Roman" w:cs="Browallia New"/>
          <w:kern w:val="0"/>
          <w:sz w:val="24"/>
          <w:szCs w:val="24"/>
          <w:lang w:eastAsia="fr-FR"/>
        </w:rPr>
      </w:pPr>
      <w:r>
        <w:rPr>
          <w:rFonts w:eastAsia="Times New Roman" w:cs="Browallia New"/>
          <w:kern w:val="0"/>
          <w:sz w:val="24"/>
          <w:szCs w:val="24"/>
          <w:lang w:eastAsia="fr-FR"/>
        </w:rPr>
        <w:t>La revue systématique a retenu neuf essais contrôlés randomisés portant exclusivement sur des adultes présentant une dépression résistante au traitement et évaluant l’</w:t>
      </w:r>
      <w:proofErr w:type="spellStart"/>
      <w:r>
        <w:rPr>
          <w:rFonts w:eastAsia="Times New Roman" w:cs="Browallia New"/>
          <w:kern w:val="0"/>
          <w:sz w:val="24"/>
          <w:szCs w:val="24"/>
          <w:lang w:eastAsia="fr-FR"/>
        </w:rPr>
        <w:t>eskétamine</w:t>
      </w:r>
      <w:proofErr w:type="spellEnd"/>
      <w:r>
        <w:rPr>
          <w:rFonts w:eastAsia="Times New Roman" w:cs="Browallia New"/>
          <w:kern w:val="0"/>
          <w:sz w:val="24"/>
          <w:szCs w:val="24"/>
          <w:lang w:eastAsia="fr-FR"/>
        </w:rPr>
        <w:t xml:space="preserve"> </w:t>
      </w:r>
      <w:proofErr w:type="spellStart"/>
      <w:r>
        <w:rPr>
          <w:rFonts w:eastAsia="Times New Roman" w:cs="Browallia New"/>
          <w:kern w:val="0"/>
          <w:sz w:val="24"/>
          <w:szCs w:val="24"/>
          <w:lang w:eastAsia="fr-FR"/>
        </w:rPr>
        <w:t>intranasale</w:t>
      </w:r>
      <w:proofErr w:type="spellEnd"/>
      <w:r>
        <w:rPr>
          <w:rFonts w:eastAsia="Times New Roman" w:cs="Browallia New"/>
          <w:kern w:val="0"/>
          <w:sz w:val="24"/>
          <w:szCs w:val="24"/>
          <w:lang w:eastAsia="fr-FR"/>
        </w:rPr>
        <w:t xml:space="preserve"> associée à un antidépresseur, aucune ét</w:t>
      </w:r>
      <w:r>
        <w:rPr>
          <w:rFonts w:eastAsia="Times New Roman" w:cs="Browallia New"/>
          <w:kern w:val="0"/>
          <w:sz w:val="24"/>
          <w:szCs w:val="24"/>
          <w:lang w:eastAsia="fr-FR"/>
        </w:rPr>
        <w:t xml:space="preserve">ude sur la kétamine intraveineuse n’ayant satisfait aux critères d’inclusion. La qualité méthodologique globale était jugée faible à modérée en termes de risque de biais. </w:t>
      </w:r>
    </w:p>
    <w:p w:rsidR="00E94109" w:rsidRDefault="00A13AD3">
      <w:pPr>
        <w:spacing w:before="100" w:after="100"/>
        <w:jc w:val="both"/>
        <w:rPr>
          <w:rFonts w:eastAsia="Times New Roman" w:cs="Browallia New"/>
          <w:kern w:val="0"/>
          <w:sz w:val="24"/>
          <w:szCs w:val="24"/>
          <w:lang w:eastAsia="fr-FR"/>
        </w:rPr>
      </w:pPr>
      <w:r>
        <w:rPr>
          <w:rFonts w:eastAsia="Times New Roman" w:cs="Browallia New"/>
          <w:kern w:val="0"/>
          <w:sz w:val="24"/>
          <w:szCs w:val="24"/>
          <w:lang w:eastAsia="fr-FR"/>
        </w:rPr>
        <w:t>Dans l’ensemble, plusieurs grands essais, notamment ceux du programme TRANSFORM, mon</w:t>
      </w:r>
      <w:r>
        <w:rPr>
          <w:rFonts w:eastAsia="Times New Roman" w:cs="Browallia New"/>
          <w:kern w:val="0"/>
          <w:sz w:val="24"/>
          <w:szCs w:val="24"/>
          <w:lang w:eastAsia="fr-FR"/>
        </w:rPr>
        <w:t>trent que l’</w:t>
      </w:r>
      <w:proofErr w:type="spellStart"/>
      <w:r>
        <w:rPr>
          <w:rFonts w:eastAsia="Times New Roman" w:cs="Browallia New"/>
          <w:kern w:val="0"/>
          <w:sz w:val="24"/>
          <w:szCs w:val="24"/>
          <w:lang w:eastAsia="fr-FR"/>
        </w:rPr>
        <w:t>eskétamine</w:t>
      </w:r>
      <w:proofErr w:type="spellEnd"/>
      <w:r>
        <w:rPr>
          <w:rFonts w:eastAsia="Times New Roman" w:cs="Browallia New"/>
          <w:kern w:val="0"/>
          <w:sz w:val="24"/>
          <w:szCs w:val="24"/>
          <w:lang w:eastAsia="fr-FR"/>
        </w:rPr>
        <w:t xml:space="preserve"> est associée à une amélioration significative du fonctionnement global (travail/études, vie sociale, responsabilités familiales) ainsi qu’à une meilleure productivité professionnelle, avec des effets parfois cliniquement pertinents e</w:t>
      </w:r>
      <w:r>
        <w:rPr>
          <w:rFonts w:eastAsia="Times New Roman" w:cs="Browallia New"/>
          <w:kern w:val="0"/>
          <w:sz w:val="24"/>
          <w:szCs w:val="24"/>
          <w:lang w:eastAsia="fr-FR"/>
        </w:rPr>
        <w:t xml:space="preserve">t supérieurs à certains comparateurs actifs comme la </w:t>
      </w:r>
      <w:proofErr w:type="spellStart"/>
      <w:r>
        <w:rPr>
          <w:rFonts w:eastAsia="Times New Roman" w:cs="Browallia New"/>
          <w:kern w:val="0"/>
          <w:sz w:val="24"/>
          <w:szCs w:val="24"/>
          <w:lang w:eastAsia="fr-FR"/>
        </w:rPr>
        <w:t>quétiapine</w:t>
      </w:r>
      <w:proofErr w:type="spellEnd"/>
      <w:r>
        <w:rPr>
          <w:rFonts w:eastAsia="Times New Roman" w:cs="Browallia New"/>
          <w:kern w:val="0"/>
          <w:sz w:val="24"/>
          <w:szCs w:val="24"/>
          <w:lang w:eastAsia="fr-FR"/>
        </w:rPr>
        <w:t>.</w:t>
      </w:r>
    </w:p>
    <w:p w:rsidR="00E94109" w:rsidRDefault="00A13AD3">
      <w:pPr>
        <w:spacing w:before="100" w:after="100"/>
        <w:jc w:val="both"/>
        <w:rPr>
          <w:rFonts w:eastAsia="Times New Roman" w:cs="Browallia New"/>
          <w:kern w:val="0"/>
          <w:sz w:val="24"/>
          <w:szCs w:val="24"/>
          <w:lang w:eastAsia="fr-FR"/>
        </w:rPr>
      </w:pPr>
      <w:r>
        <w:rPr>
          <w:rFonts w:eastAsia="Times New Roman" w:cs="Browallia New"/>
          <w:kern w:val="0"/>
          <w:sz w:val="24"/>
          <w:szCs w:val="24"/>
          <w:lang w:eastAsia="fr-FR"/>
        </w:rPr>
        <w:t xml:space="preserve"> Toutefois, d’autres études n’ont pas retrouvé de bénéfice statistiquement significatif malgré une tendance favorable, suggérant une hétérogénéité des résultats selon les protocoles et la </w:t>
      </w:r>
      <w:r>
        <w:rPr>
          <w:rFonts w:eastAsia="Times New Roman" w:cs="Browallia New"/>
          <w:kern w:val="0"/>
          <w:sz w:val="24"/>
          <w:szCs w:val="24"/>
          <w:lang w:eastAsia="fr-FR"/>
        </w:rPr>
        <w:t xml:space="preserve">durée de suivi. </w:t>
      </w:r>
    </w:p>
    <w:p w:rsidR="00E94109" w:rsidRDefault="00A13AD3">
      <w:pPr>
        <w:spacing w:before="100" w:after="100"/>
        <w:jc w:val="both"/>
        <w:rPr>
          <w:rFonts w:eastAsia="Times New Roman" w:cs="Browallia New"/>
          <w:kern w:val="0"/>
          <w:sz w:val="24"/>
          <w:szCs w:val="24"/>
          <w:lang w:eastAsia="fr-FR"/>
        </w:rPr>
      </w:pPr>
      <w:r>
        <w:rPr>
          <w:rFonts w:eastAsia="Times New Roman" w:cs="Browallia New"/>
          <w:kern w:val="0"/>
          <w:sz w:val="24"/>
          <w:szCs w:val="24"/>
          <w:lang w:eastAsia="fr-FR"/>
        </w:rPr>
        <w:t>Sur le plan de la tolérance, l’</w:t>
      </w:r>
      <w:proofErr w:type="spellStart"/>
      <w:r>
        <w:rPr>
          <w:rFonts w:eastAsia="Times New Roman" w:cs="Browallia New"/>
          <w:kern w:val="0"/>
          <w:sz w:val="24"/>
          <w:szCs w:val="24"/>
          <w:lang w:eastAsia="fr-FR"/>
        </w:rPr>
        <w:t>eskétamine</w:t>
      </w:r>
      <w:proofErr w:type="spellEnd"/>
      <w:r>
        <w:rPr>
          <w:rFonts w:eastAsia="Times New Roman" w:cs="Browallia New"/>
          <w:kern w:val="0"/>
          <w:sz w:val="24"/>
          <w:szCs w:val="24"/>
          <w:lang w:eastAsia="fr-FR"/>
        </w:rPr>
        <w:t xml:space="preserve"> était associée à une fréquence plus élevée d’effets indésirables principalement élévation </w:t>
      </w:r>
      <w:proofErr w:type="spellStart"/>
      <w:r>
        <w:rPr>
          <w:rFonts w:eastAsia="Times New Roman" w:cs="Browallia New"/>
          <w:kern w:val="0"/>
          <w:sz w:val="24"/>
          <w:szCs w:val="24"/>
          <w:lang w:eastAsia="fr-FR"/>
        </w:rPr>
        <w:t>tensionnelle</w:t>
      </w:r>
      <w:proofErr w:type="spellEnd"/>
      <w:r>
        <w:rPr>
          <w:rFonts w:eastAsia="Times New Roman" w:cs="Browallia New"/>
          <w:kern w:val="0"/>
          <w:sz w:val="24"/>
          <w:szCs w:val="24"/>
          <w:lang w:eastAsia="fr-FR"/>
        </w:rPr>
        <w:t xml:space="preserve">, dissociation, vertiges et nausées le plus souvent d’intensité légère à modérée. Globalement, </w:t>
      </w:r>
      <w:r>
        <w:rPr>
          <w:rFonts w:eastAsia="Times New Roman" w:cs="Browallia New"/>
          <w:kern w:val="0"/>
          <w:sz w:val="24"/>
          <w:szCs w:val="24"/>
          <w:lang w:eastAsia="fr-FR"/>
        </w:rPr>
        <w:t>les données soutiennent un effet positif de l’</w:t>
      </w:r>
      <w:proofErr w:type="spellStart"/>
      <w:r>
        <w:rPr>
          <w:rFonts w:eastAsia="Times New Roman" w:cs="Browallia New"/>
          <w:kern w:val="0"/>
          <w:sz w:val="24"/>
          <w:szCs w:val="24"/>
          <w:lang w:eastAsia="fr-FR"/>
        </w:rPr>
        <w:t>eskétamine</w:t>
      </w:r>
      <w:proofErr w:type="spellEnd"/>
      <w:r>
        <w:rPr>
          <w:rFonts w:eastAsia="Times New Roman" w:cs="Browallia New"/>
          <w:kern w:val="0"/>
          <w:sz w:val="24"/>
          <w:szCs w:val="24"/>
          <w:lang w:eastAsia="fr-FR"/>
        </w:rPr>
        <w:t xml:space="preserve"> sur les issues fonctionnelles dans la </w:t>
      </w:r>
      <w:r>
        <w:rPr>
          <w:rFonts w:eastAsia="Times New Roman" w:cs="Browallia New"/>
          <w:kern w:val="0"/>
          <w:sz w:val="24"/>
          <w:szCs w:val="24"/>
          <w:lang w:eastAsia="fr-FR"/>
        </w:rPr>
        <w:lastRenderedPageBreak/>
        <w:t>dépression résistante, tout en soulignant la nécessité d’interpréter ces résultats avec prudence.</w:t>
      </w:r>
    </w:p>
    <w:p w:rsidR="00E94109" w:rsidRDefault="00A13AD3">
      <w:pPr>
        <w:jc w:val="both"/>
        <w:rPr>
          <w:rFonts w:cs="Browallia New"/>
          <w:b/>
          <w:bCs/>
          <w:color w:val="FF0000"/>
          <w:sz w:val="32"/>
          <w:szCs w:val="32"/>
          <w:u w:val="single"/>
        </w:rPr>
      </w:pPr>
      <w:r>
        <w:rPr>
          <w:rFonts w:cs="Browallia New"/>
          <w:b/>
          <w:bCs/>
          <w:color w:val="FF0000"/>
          <w:sz w:val="32"/>
          <w:szCs w:val="32"/>
          <w:u w:val="single"/>
        </w:rPr>
        <w:t>Discussion :</w:t>
      </w:r>
    </w:p>
    <w:p w:rsidR="00E94109" w:rsidRDefault="00A13AD3">
      <w:pPr>
        <w:jc w:val="both"/>
        <w:rPr>
          <w:rFonts w:eastAsia="Times New Roman" w:cs="Browallia New"/>
          <w:kern w:val="0"/>
          <w:sz w:val="24"/>
          <w:szCs w:val="24"/>
          <w:lang w:eastAsia="fr-FR"/>
        </w:rPr>
      </w:pPr>
      <w:bookmarkStart w:id="1" w:name="_Hlk204111030"/>
      <w:r>
        <w:rPr>
          <w:rFonts w:eastAsia="Times New Roman" w:cs="Browallia New"/>
          <w:kern w:val="0"/>
          <w:sz w:val="24"/>
          <w:szCs w:val="24"/>
          <w:lang w:eastAsia="fr-FR"/>
        </w:rPr>
        <w:t>La revue a identifié neuf essais contrôlés portant</w:t>
      </w:r>
      <w:r>
        <w:rPr>
          <w:rFonts w:eastAsia="Times New Roman" w:cs="Browallia New"/>
          <w:kern w:val="0"/>
          <w:sz w:val="24"/>
          <w:szCs w:val="24"/>
          <w:lang w:eastAsia="fr-FR"/>
        </w:rPr>
        <w:t xml:space="preserve"> sur l’</w:t>
      </w:r>
      <w:proofErr w:type="spellStart"/>
      <w:r>
        <w:rPr>
          <w:rFonts w:eastAsia="Times New Roman" w:cs="Browallia New"/>
          <w:kern w:val="0"/>
          <w:sz w:val="24"/>
          <w:szCs w:val="24"/>
          <w:lang w:eastAsia="fr-FR"/>
        </w:rPr>
        <w:t>eskétamine</w:t>
      </w:r>
      <w:proofErr w:type="spellEnd"/>
      <w:r>
        <w:rPr>
          <w:rFonts w:eastAsia="Times New Roman" w:cs="Browallia New"/>
          <w:kern w:val="0"/>
          <w:sz w:val="24"/>
          <w:szCs w:val="24"/>
          <w:lang w:eastAsia="fr-FR"/>
        </w:rPr>
        <w:t xml:space="preserve"> </w:t>
      </w:r>
      <w:proofErr w:type="spellStart"/>
      <w:r>
        <w:rPr>
          <w:rFonts w:eastAsia="Times New Roman" w:cs="Browallia New"/>
          <w:kern w:val="0"/>
          <w:sz w:val="24"/>
          <w:szCs w:val="24"/>
          <w:lang w:eastAsia="fr-FR"/>
        </w:rPr>
        <w:t>intranasale</w:t>
      </w:r>
      <w:proofErr w:type="spellEnd"/>
      <w:r>
        <w:rPr>
          <w:rFonts w:eastAsia="Times New Roman" w:cs="Browallia New"/>
          <w:kern w:val="0"/>
          <w:sz w:val="24"/>
          <w:szCs w:val="24"/>
          <w:lang w:eastAsia="fr-FR"/>
        </w:rPr>
        <w:t>, sans étude contrôlée éligible concernant la kétamine, bien que des travaux ouverts suggèrent des bénéfices fonctionnels avec cette dernière. Globalement, les analyses des essais majeurs montrent une amélioration significative</w:t>
      </w:r>
      <w:r>
        <w:rPr>
          <w:rFonts w:eastAsia="Times New Roman" w:cs="Browallia New"/>
          <w:kern w:val="0"/>
          <w:sz w:val="24"/>
          <w:szCs w:val="24"/>
          <w:lang w:eastAsia="fr-FR"/>
        </w:rPr>
        <w:t xml:space="preserve"> du fonctionnement sous </w:t>
      </w:r>
      <w:proofErr w:type="spellStart"/>
      <w:r>
        <w:rPr>
          <w:rFonts w:eastAsia="Times New Roman" w:cs="Browallia New"/>
          <w:kern w:val="0"/>
          <w:sz w:val="24"/>
          <w:szCs w:val="24"/>
          <w:lang w:eastAsia="fr-FR"/>
        </w:rPr>
        <w:t>eskétamine</w:t>
      </w:r>
      <w:proofErr w:type="spellEnd"/>
      <w:r>
        <w:rPr>
          <w:rFonts w:eastAsia="Times New Roman" w:cs="Browallia New"/>
          <w:kern w:val="0"/>
          <w:sz w:val="24"/>
          <w:szCs w:val="24"/>
          <w:lang w:eastAsia="fr-FR"/>
        </w:rPr>
        <w:t>, notamment dans la vie sociale, professionnelle et familiale, mais des résultats discordants persistent, certaines études ne retrouvant pas de supériorité statistique par rapport au placebo. Les mesures de productivité au</w:t>
      </w:r>
      <w:r>
        <w:rPr>
          <w:rFonts w:eastAsia="Times New Roman" w:cs="Browallia New"/>
          <w:kern w:val="0"/>
          <w:sz w:val="24"/>
          <w:szCs w:val="24"/>
          <w:lang w:eastAsia="fr-FR"/>
        </w:rPr>
        <w:t xml:space="preserve"> travail apparaissent toutefois plus constamment améliorées. </w:t>
      </w:r>
    </w:p>
    <w:p w:rsidR="00E94109" w:rsidRDefault="00A13AD3">
      <w:pPr>
        <w:jc w:val="both"/>
        <w:rPr>
          <w:rFonts w:eastAsia="Times New Roman" w:cs="Browallia New"/>
          <w:kern w:val="0"/>
          <w:sz w:val="24"/>
          <w:szCs w:val="24"/>
          <w:lang w:eastAsia="fr-FR"/>
        </w:rPr>
      </w:pPr>
      <w:r>
        <w:rPr>
          <w:rFonts w:eastAsia="Times New Roman" w:cs="Browallia New"/>
          <w:kern w:val="0"/>
          <w:sz w:val="24"/>
          <w:szCs w:val="24"/>
          <w:lang w:eastAsia="fr-FR"/>
        </w:rPr>
        <w:t>Ces variations pourraient s’expliquer par des différences de sévérité initiale, de comorbidités, de statut professionnel ou de durée de suivi, souvent limitée à quatre semaines alors que la récu</w:t>
      </w:r>
      <w:r>
        <w:rPr>
          <w:rFonts w:eastAsia="Times New Roman" w:cs="Browallia New"/>
          <w:kern w:val="0"/>
          <w:sz w:val="24"/>
          <w:szCs w:val="24"/>
          <w:lang w:eastAsia="fr-FR"/>
        </w:rPr>
        <w:t>pération fonctionnelle peut être plus tardive que l’amélioration symptomatique. L’âge semble également moduler la réponse, avec des effets plus modestes chez les sujets âgés. Sur le plan physiopathologique, le lien entre amélioration thymique et récupérati</w:t>
      </w:r>
      <w:r>
        <w:rPr>
          <w:rFonts w:eastAsia="Times New Roman" w:cs="Browallia New"/>
          <w:kern w:val="0"/>
          <w:sz w:val="24"/>
          <w:szCs w:val="24"/>
          <w:lang w:eastAsia="fr-FR"/>
        </w:rPr>
        <w:t>on fonctionnelle reste imparfait, suggérant l’implication d’autres dimensions telles que l’</w:t>
      </w:r>
      <w:proofErr w:type="spellStart"/>
      <w:r>
        <w:rPr>
          <w:rFonts w:eastAsia="Times New Roman" w:cs="Browallia New"/>
          <w:kern w:val="0"/>
          <w:sz w:val="24"/>
          <w:szCs w:val="24"/>
          <w:lang w:eastAsia="fr-FR"/>
        </w:rPr>
        <w:t>anhédonie</w:t>
      </w:r>
      <w:proofErr w:type="spellEnd"/>
      <w:r>
        <w:rPr>
          <w:rFonts w:eastAsia="Times New Roman" w:cs="Browallia New"/>
          <w:kern w:val="0"/>
          <w:sz w:val="24"/>
          <w:szCs w:val="24"/>
          <w:lang w:eastAsia="fr-FR"/>
        </w:rPr>
        <w:t xml:space="preserve"> et les troubles cognitifs. </w:t>
      </w:r>
    </w:p>
    <w:p w:rsidR="00E94109" w:rsidRDefault="00A13AD3">
      <w:pPr>
        <w:jc w:val="both"/>
        <w:rPr>
          <w:rFonts w:eastAsia="Times New Roman" w:cs="Browallia New"/>
          <w:kern w:val="0"/>
          <w:sz w:val="24"/>
          <w:szCs w:val="24"/>
          <w:lang w:eastAsia="fr-FR"/>
        </w:rPr>
      </w:pPr>
      <w:r>
        <w:rPr>
          <w:rFonts w:eastAsia="Times New Roman" w:cs="Browallia New"/>
          <w:kern w:val="0"/>
          <w:sz w:val="24"/>
          <w:szCs w:val="24"/>
          <w:lang w:eastAsia="fr-FR"/>
        </w:rPr>
        <w:t>Cette revue présente comme point fort une évaluation méthodologique rigoureuse avec un risque de biais globalement faible à mod</w:t>
      </w:r>
      <w:r>
        <w:rPr>
          <w:rFonts w:eastAsia="Times New Roman" w:cs="Browallia New"/>
          <w:kern w:val="0"/>
          <w:sz w:val="24"/>
          <w:szCs w:val="24"/>
          <w:lang w:eastAsia="fr-FR"/>
        </w:rPr>
        <w:t>éré, mais plusieurs limites doivent être soulignées : absence d’essais contrôlés sur la kétamine, hétérogénéité des outils d’évaluation fonctionnelle, possible redondance de certaines cohortes et manque de données à long terme, ce qui restreint la générali</w:t>
      </w:r>
      <w:r>
        <w:rPr>
          <w:rFonts w:eastAsia="Times New Roman" w:cs="Browallia New"/>
          <w:kern w:val="0"/>
          <w:sz w:val="24"/>
          <w:szCs w:val="24"/>
          <w:lang w:eastAsia="fr-FR"/>
        </w:rPr>
        <w:t>sation des résultats. Des études supplémentaires, notamment prolongées et mieux standardisées, sont nécessaires pour confirmer l’impact durable de ces traitements sur la récupération fonctionnelle dans la dépression résistante.</w:t>
      </w:r>
    </w:p>
    <w:p w:rsidR="00E94109" w:rsidRDefault="00A13AD3">
      <w:pPr>
        <w:jc w:val="both"/>
        <w:rPr>
          <w:rFonts w:cs="Browallia New"/>
          <w:b/>
          <w:bCs/>
          <w:color w:val="FF0000"/>
          <w:sz w:val="32"/>
          <w:szCs w:val="32"/>
          <w:u w:val="single"/>
        </w:rPr>
      </w:pPr>
      <w:r>
        <w:rPr>
          <w:rFonts w:cs="Browallia New"/>
          <w:b/>
          <w:bCs/>
          <w:color w:val="FF0000"/>
          <w:sz w:val="32"/>
          <w:szCs w:val="32"/>
          <w:u w:val="single"/>
        </w:rPr>
        <w:t>Conclusion :</w:t>
      </w:r>
      <w:bookmarkEnd w:id="1"/>
    </w:p>
    <w:p w:rsidR="00E94109" w:rsidRDefault="00A13AD3">
      <w:pPr>
        <w:jc w:val="both"/>
        <w:rPr>
          <w:rFonts w:cs="Browallia New"/>
          <w:sz w:val="24"/>
          <w:szCs w:val="24"/>
        </w:rPr>
      </w:pPr>
      <w:r>
        <w:rPr>
          <w:rFonts w:cs="Browallia New"/>
          <w:sz w:val="24"/>
          <w:szCs w:val="24"/>
        </w:rPr>
        <w:t>L’</w:t>
      </w:r>
      <w:proofErr w:type="spellStart"/>
      <w:r>
        <w:rPr>
          <w:rFonts w:cs="Browallia New"/>
          <w:sz w:val="24"/>
          <w:szCs w:val="24"/>
        </w:rPr>
        <w:t>eskétamine</w:t>
      </w:r>
      <w:proofErr w:type="spellEnd"/>
      <w:r>
        <w:rPr>
          <w:rFonts w:cs="Browallia New"/>
          <w:sz w:val="24"/>
          <w:szCs w:val="24"/>
        </w:rPr>
        <w:t xml:space="preserve"> </w:t>
      </w:r>
      <w:proofErr w:type="spellStart"/>
      <w:r>
        <w:rPr>
          <w:rFonts w:cs="Browallia New"/>
          <w:sz w:val="24"/>
          <w:szCs w:val="24"/>
        </w:rPr>
        <w:t>in</w:t>
      </w:r>
      <w:r>
        <w:rPr>
          <w:rFonts w:cs="Browallia New"/>
          <w:sz w:val="24"/>
          <w:szCs w:val="24"/>
        </w:rPr>
        <w:t>tranasale</w:t>
      </w:r>
      <w:proofErr w:type="spellEnd"/>
      <w:r>
        <w:rPr>
          <w:rFonts w:cs="Browallia New"/>
          <w:sz w:val="24"/>
          <w:szCs w:val="24"/>
        </w:rPr>
        <w:t xml:space="preserve"> apparaît prometteuse pour améliorer le fonctionnement, en particulier la productivité professionnelle, chez les patients souffrant de dépression résistante, bien que les résultats demeurent hétérogènes et que les données contrôlées sur la kétamin</w:t>
      </w:r>
      <w:r>
        <w:rPr>
          <w:rFonts w:cs="Browallia New"/>
          <w:sz w:val="24"/>
          <w:szCs w:val="24"/>
        </w:rPr>
        <w:t>e fassent défaut. De futures études devront mieux intégrer des critères fonctionnels et évaluer conjointement la rémission symptomatique et la récupération fonctionnelle afin de mieux apprécier le véritable objectif de rétablissement.</w:t>
      </w:r>
    </w:p>
    <w:p w:rsidR="00E94109" w:rsidRDefault="00A13AD3">
      <w:pPr>
        <w:spacing w:after="0"/>
        <w:jc w:val="right"/>
        <w:rPr>
          <w:rFonts w:cs="Browallia New"/>
          <w:color w:val="FF0000"/>
          <w:sz w:val="24"/>
          <w:szCs w:val="24"/>
        </w:rPr>
      </w:pPr>
      <w:r>
        <w:rPr>
          <w:rFonts w:cs="Browallia New"/>
          <w:color w:val="FF0000"/>
          <w:sz w:val="24"/>
          <w:szCs w:val="24"/>
        </w:rPr>
        <w:t xml:space="preserve">Traduit de l’anglais </w:t>
      </w:r>
      <w:r>
        <w:rPr>
          <w:rFonts w:cs="Browallia New"/>
          <w:color w:val="FF0000"/>
          <w:sz w:val="24"/>
          <w:szCs w:val="24"/>
        </w:rPr>
        <w:t>et synthétisé par :</w:t>
      </w:r>
    </w:p>
    <w:p w:rsidR="00E94109" w:rsidRPr="00421193" w:rsidRDefault="00A13AD3">
      <w:pPr>
        <w:spacing w:after="0"/>
        <w:jc w:val="right"/>
        <w:rPr>
          <w:lang w:val="en-US"/>
        </w:rPr>
      </w:pPr>
      <w:r>
        <w:rPr>
          <w:rStyle w:val="Policepardfaut"/>
          <w:rFonts w:cs="Browallia New"/>
          <w:color w:val="FF0000"/>
          <w:sz w:val="24"/>
          <w:szCs w:val="24"/>
        </w:rPr>
        <w:t xml:space="preserve"> </w:t>
      </w:r>
      <w:r>
        <w:rPr>
          <w:rStyle w:val="Policepardfaut"/>
          <w:rFonts w:cs="Browallia New"/>
          <w:color w:val="FF0000"/>
          <w:sz w:val="24"/>
          <w:szCs w:val="24"/>
          <w:lang w:val="en-GB"/>
        </w:rPr>
        <w:t>Dr NAJMI YASMINE</w:t>
      </w:r>
    </w:p>
    <w:p w:rsidR="00E94109" w:rsidRDefault="00A13AD3">
      <w:pPr>
        <w:spacing w:after="0"/>
        <w:jc w:val="right"/>
        <w:rPr>
          <w:rFonts w:cs="Browallia New"/>
          <w:color w:val="FF0000"/>
          <w:sz w:val="24"/>
          <w:szCs w:val="24"/>
          <w:lang w:val="en-GB"/>
        </w:rPr>
      </w:pPr>
      <w:r>
        <w:rPr>
          <w:rFonts w:cs="Browallia New"/>
          <w:color w:val="FF0000"/>
          <w:sz w:val="24"/>
          <w:szCs w:val="24"/>
          <w:lang w:val="en-GB"/>
        </w:rPr>
        <w:t>CHU MOHAMED VI</w:t>
      </w:r>
    </w:p>
    <w:p w:rsidR="00E94109" w:rsidRDefault="00A13AD3">
      <w:pPr>
        <w:spacing w:after="0"/>
        <w:jc w:val="right"/>
        <w:rPr>
          <w:rFonts w:cs="Browallia New"/>
          <w:color w:val="FF0000"/>
          <w:sz w:val="24"/>
          <w:szCs w:val="24"/>
        </w:rPr>
      </w:pPr>
      <w:r>
        <w:rPr>
          <w:rFonts w:cs="Browallia New"/>
          <w:color w:val="FF0000"/>
          <w:sz w:val="24"/>
          <w:szCs w:val="24"/>
        </w:rPr>
        <w:t>Faculté de médecine et de pharmacie d’AGADIR</w:t>
      </w:r>
    </w:p>
    <w:p w:rsidR="00E94109" w:rsidRDefault="00A13AD3">
      <w:pPr>
        <w:spacing w:after="0"/>
        <w:jc w:val="right"/>
        <w:rPr>
          <w:rFonts w:cs="Browallia New"/>
          <w:color w:val="FF0000"/>
          <w:sz w:val="24"/>
          <w:szCs w:val="24"/>
        </w:rPr>
      </w:pPr>
      <w:r>
        <w:rPr>
          <w:rFonts w:cs="Browallia New"/>
          <w:color w:val="FF0000"/>
          <w:sz w:val="24"/>
          <w:szCs w:val="24"/>
        </w:rPr>
        <w:t>Février 2026</w:t>
      </w:r>
    </w:p>
    <w:p w:rsidR="00E94109" w:rsidRDefault="00E94109">
      <w:pPr>
        <w:jc w:val="both"/>
        <w:rPr>
          <w:rFonts w:cs="Browallia New"/>
          <w:sz w:val="20"/>
          <w:szCs w:val="20"/>
        </w:rPr>
      </w:pPr>
    </w:p>
    <w:sectPr w:rsidR="00E9410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D3" w:rsidRDefault="00A13AD3">
      <w:pPr>
        <w:spacing w:after="0"/>
      </w:pPr>
      <w:r>
        <w:separator/>
      </w:r>
    </w:p>
  </w:endnote>
  <w:endnote w:type="continuationSeparator" w:id="0">
    <w:p w:rsidR="00A13AD3" w:rsidRDefault="00A13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 New">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D3" w:rsidRDefault="00A13AD3">
      <w:pPr>
        <w:spacing w:after="0"/>
      </w:pPr>
      <w:r>
        <w:rPr>
          <w:color w:val="000000"/>
        </w:rPr>
        <w:separator/>
      </w:r>
    </w:p>
  </w:footnote>
  <w:footnote w:type="continuationSeparator" w:id="0">
    <w:p w:rsidR="00A13AD3" w:rsidRDefault="00A13AD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94109"/>
    <w:rsid w:val="00421193"/>
    <w:rsid w:val="00A13AD3"/>
    <w:rsid w:val="00A36DAC"/>
    <w:rsid w:val="00B04A49"/>
    <w:rsid w:val="00E941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rial"/>
        <w:kern w:val="3"/>
        <w:sz w:val="22"/>
        <w:szCs w:val="22"/>
        <w:lang w:val="fr-F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
    <w:name w:val="Titre 3"/>
    <w:basedOn w:val="Normal"/>
    <w:pPr>
      <w:spacing w:before="100" w:after="100"/>
      <w:outlineLvl w:val="2"/>
    </w:pPr>
    <w:rPr>
      <w:rFonts w:ascii="Times New Roman" w:eastAsia="Times New Roman" w:hAnsi="Times New Roman" w:cs="Times New Roman"/>
      <w:b/>
      <w:bCs/>
      <w:kern w:val="0"/>
      <w:sz w:val="27"/>
      <w:szCs w:val="27"/>
      <w:lang w:eastAsia="fr-FR"/>
    </w:rPr>
  </w:style>
  <w:style w:type="paragraph" w:customStyle="1" w:styleId="Titre4">
    <w:name w:val="Titre 4"/>
    <w:basedOn w:val="Normal"/>
    <w:pPr>
      <w:spacing w:before="100" w:after="100"/>
      <w:outlineLvl w:val="3"/>
    </w:pPr>
    <w:rPr>
      <w:rFonts w:ascii="Times New Roman" w:eastAsia="Times New Roman" w:hAnsi="Times New Roman" w:cs="Times New Roman"/>
      <w:b/>
      <w:bCs/>
      <w:kern w:val="0"/>
      <w:sz w:val="24"/>
      <w:szCs w:val="24"/>
      <w:lang w:eastAsia="fr-FR"/>
    </w:rPr>
  </w:style>
  <w:style w:type="character" w:customStyle="1" w:styleId="Policepardfaut">
    <w:name w:val="Police par défaut"/>
  </w:style>
  <w:style w:type="paragraph" w:customStyle="1" w:styleId="Paragraphedeliste">
    <w:name w:val="Paragraphe de liste"/>
    <w:basedOn w:val="Normal"/>
    <w:pPr>
      <w:ind w:left="720"/>
    </w:pPr>
  </w:style>
  <w:style w:type="character" w:customStyle="1" w:styleId="Titre3Car">
    <w:name w:val="Titre 3 Car"/>
    <w:basedOn w:val="Policepardfaut"/>
    <w:rPr>
      <w:rFonts w:ascii="Times New Roman" w:eastAsia="Times New Roman" w:hAnsi="Times New Roman" w:cs="Times New Roman"/>
      <w:b/>
      <w:bCs/>
      <w:kern w:val="0"/>
      <w:sz w:val="27"/>
      <w:szCs w:val="27"/>
      <w:lang w:eastAsia="fr-FR"/>
    </w:rPr>
  </w:style>
  <w:style w:type="character" w:customStyle="1" w:styleId="Titre4Car">
    <w:name w:val="Titre 4 Car"/>
    <w:basedOn w:val="Policepardfaut"/>
    <w:rPr>
      <w:rFonts w:ascii="Times New Roman" w:eastAsia="Times New Roman" w:hAnsi="Times New Roman" w:cs="Times New Roman"/>
      <w:b/>
      <w:bCs/>
      <w:kern w:val="0"/>
      <w:sz w:val="24"/>
      <w:szCs w:val="24"/>
      <w:lang w:eastAsia="fr-FR"/>
    </w:rPr>
  </w:style>
  <w:style w:type="paragraph" w:styleId="NormalWeb">
    <w:name w:val="Normal (Web)"/>
    <w:basedOn w:val="Normal"/>
    <w:pPr>
      <w:spacing w:before="100" w:after="100"/>
    </w:pPr>
    <w:rPr>
      <w:rFonts w:ascii="Times New Roman" w:eastAsia="Times New Roman" w:hAnsi="Times New Roman" w:cs="Times New Roman"/>
      <w:kern w:val="0"/>
      <w:sz w:val="24"/>
      <w:szCs w:val="24"/>
      <w:lang w:eastAsia="fr-FR"/>
    </w:rPr>
  </w:style>
  <w:style w:type="paragraph" w:styleId="BalloonText">
    <w:name w:val="Balloon Text"/>
    <w:basedOn w:val="Normal"/>
    <w:link w:val="BalloonTextChar"/>
    <w:uiPriority w:val="99"/>
    <w:semiHidden/>
    <w:unhideWhenUsed/>
    <w:rsid w:val="00B04A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rial"/>
        <w:kern w:val="3"/>
        <w:sz w:val="22"/>
        <w:szCs w:val="22"/>
        <w:lang w:val="fr-F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
    <w:name w:val="Titre 3"/>
    <w:basedOn w:val="Normal"/>
    <w:pPr>
      <w:spacing w:before="100" w:after="100"/>
      <w:outlineLvl w:val="2"/>
    </w:pPr>
    <w:rPr>
      <w:rFonts w:ascii="Times New Roman" w:eastAsia="Times New Roman" w:hAnsi="Times New Roman" w:cs="Times New Roman"/>
      <w:b/>
      <w:bCs/>
      <w:kern w:val="0"/>
      <w:sz w:val="27"/>
      <w:szCs w:val="27"/>
      <w:lang w:eastAsia="fr-FR"/>
    </w:rPr>
  </w:style>
  <w:style w:type="paragraph" w:customStyle="1" w:styleId="Titre4">
    <w:name w:val="Titre 4"/>
    <w:basedOn w:val="Normal"/>
    <w:pPr>
      <w:spacing w:before="100" w:after="100"/>
      <w:outlineLvl w:val="3"/>
    </w:pPr>
    <w:rPr>
      <w:rFonts w:ascii="Times New Roman" w:eastAsia="Times New Roman" w:hAnsi="Times New Roman" w:cs="Times New Roman"/>
      <w:b/>
      <w:bCs/>
      <w:kern w:val="0"/>
      <w:sz w:val="24"/>
      <w:szCs w:val="24"/>
      <w:lang w:eastAsia="fr-FR"/>
    </w:rPr>
  </w:style>
  <w:style w:type="character" w:customStyle="1" w:styleId="Policepardfaut">
    <w:name w:val="Police par défaut"/>
  </w:style>
  <w:style w:type="paragraph" w:customStyle="1" w:styleId="Paragraphedeliste">
    <w:name w:val="Paragraphe de liste"/>
    <w:basedOn w:val="Normal"/>
    <w:pPr>
      <w:ind w:left="720"/>
    </w:pPr>
  </w:style>
  <w:style w:type="character" w:customStyle="1" w:styleId="Titre3Car">
    <w:name w:val="Titre 3 Car"/>
    <w:basedOn w:val="Policepardfaut"/>
    <w:rPr>
      <w:rFonts w:ascii="Times New Roman" w:eastAsia="Times New Roman" w:hAnsi="Times New Roman" w:cs="Times New Roman"/>
      <w:b/>
      <w:bCs/>
      <w:kern w:val="0"/>
      <w:sz w:val="27"/>
      <w:szCs w:val="27"/>
      <w:lang w:eastAsia="fr-FR"/>
    </w:rPr>
  </w:style>
  <w:style w:type="character" w:customStyle="1" w:styleId="Titre4Car">
    <w:name w:val="Titre 4 Car"/>
    <w:basedOn w:val="Policepardfaut"/>
    <w:rPr>
      <w:rFonts w:ascii="Times New Roman" w:eastAsia="Times New Roman" w:hAnsi="Times New Roman" w:cs="Times New Roman"/>
      <w:b/>
      <w:bCs/>
      <w:kern w:val="0"/>
      <w:sz w:val="24"/>
      <w:szCs w:val="24"/>
      <w:lang w:eastAsia="fr-FR"/>
    </w:rPr>
  </w:style>
  <w:style w:type="paragraph" w:styleId="NormalWeb">
    <w:name w:val="Normal (Web)"/>
    <w:basedOn w:val="Normal"/>
    <w:pPr>
      <w:spacing w:before="100" w:after="100"/>
    </w:pPr>
    <w:rPr>
      <w:rFonts w:ascii="Times New Roman" w:eastAsia="Times New Roman" w:hAnsi="Times New Roman" w:cs="Times New Roman"/>
      <w:kern w:val="0"/>
      <w:sz w:val="24"/>
      <w:szCs w:val="24"/>
      <w:lang w:eastAsia="fr-FR"/>
    </w:rPr>
  </w:style>
  <w:style w:type="paragraph" w:styleId="BalloonText">
    <w:name w:val="Balloon Text"/>
    <w:basedOn w:val="Normal"/>
    <w:link w:val="BalloonTextChar"/>
    <w:uiPriority w:val="99"/>
    <w:semiHidden/>
    <w:unhideWhenUsed/>
    <w:rsid w:val="00B04A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 najmi</dc:creator>
  <cp:lastModifiedBy>hp</cp:lastModifiedBy>
  <cp:revision>2</cp:revision>
  <dcterms:created xsi:type="dcterms:W3CDTF">2026-02-28T09:55:00Z</dcterms:created>
  <dcterms:modified xsi:type="dcterms:W3CDTF">2026-02-28T09:55:00Z</dcterms:modified>
</cp:coreProperties>
</file>