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EED92" w14:textId="6CBC7A15" w:rsidR="00593699" w:rsidRDefault="00593699" w:rsidP="00593699">
      <w:pPr>
        <w:rPr>
          <w:b/>
          <w:bCs/>
        </w:rPr>
      </w:pPr>
    </w:p>
    <w:p w14:paraId="3700BE48" w14:textId="6377CA92" w:rsidR="00E07D41" w:rsidRPr="00E07D41" w:rsidRDefault="00E07D41" w:rsidP="00E07D41">
      <w:pPr>
        <w:rPr>
          <w:b/>
          <w:bCs/>
          <w:color w:val="2F5496" w:themeColor="accent1" w:themeShade="BF"/>
          <w:sz w:val="40"/>
          <w:szCs w:val="40"/>
          <w:u w:val="single"/>
        </w:rPr>
      </w:pPr>
      <w:r w:rsidRPr="00E07D41">
        <w:rPr>
          <w:b/>
          <w:bCs/>
          <w:color w:val="2F5496" w:themeColor="accent1" w:themeShade="BF"/>
          <w:sz w:val="40"/>
          <w:szCs w:val="40"/>
          <w:u w:val="single"/>
        </w:rPr>
        <w:t>Peut-on prévenir la réponse au traitement du TDHA</w:t>
      </w:r>
      <w:r>
        <w:rPr>
          <w:b/>
          <w:bCs/>
          <w:color w:val="2F5496" w:themeColor="accent1" w:themeShade="BF"/>
          <w:sz w:val="40"/>
          <w:szCs w:val="40"/>
          <w:u w:val="single"/>
        </w:rPr>
        <w:t> ?</w:t>
      </w:r>
    </w:p>
    <w:p w14:paraId="6F895354" w14:textId="77777777" w:rsidR="00E07D41" w:rsidRDefault="00E07D41" w:rsidP="00E07D41">
      <w:pPr>
        <w:rPr>
          <w:b/>
          <w:bCs/>
          <w:color w:val="2F5496" w:themeColor="accent1" w:themeShade="BF"/>
          <w:sz w:val="28"/>
          <w:szCs w:val="28"/>
          <w:u w:val="single"/>
        </w:rPr>
      </w:pPr>
    </w:p>
    <w:p w14:paraId="2E469330" w14:textId="1FA281C2" w:rsidR="00E07D41" w:rsidRDefault="00E07D41" w:rsidP="00E07D41">
      <w:pPr>
        <w:rPr>
          <w:b/>
          <w:bCs/>
          <w:color w:val="2F5496" w:themeColor="accent1" w:themeShade="BF"/>
          <w:sz w:val="28"/>
          <w:szCs w:val="28"/>
          <w:u w:val="single"/>
        </w:rPr>
      </w:pPr>
      <w:r w:rsidRPr="00593699">
        <w:rPr>
          <w:b/>
          <w:bCs/>
          <w:noProof/>
          <w:lang w:val="en-GB" w:eastAsia="en-GB"/>
        </w:rPr>
        <w:drawing>
          <wp:inline distT="0" distB="0" distL="0" distR="0" wp14:anchorId="3CB91842" wp14:editId="054871EC">
            <wp:extent cx="5760720" cy="1454785"/>
            <wp:effectExtent l="0" t="0" r="0" b="0"/>
            <wp:docPr id="67552200" name="Image 1" descr="Une image contenant texte, capture d’écran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52200" name="Image 1" descr="Une image contenant texte, capture d’écran, Polic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8B802" w14:textId="77777777" w:rsidR="00E07D41" w:rsidRDefault="00E07D41" w:rsidP="00E07D41">
      <w:pPr>
        <w:rPr>
          <w:b/>
          <w:bCs/>
          <w:color w:val="2F5496" w:themeColor="accent1" w:themeShade="BF"/>
          <w:sz w:val="28"/>
          <w:szCs w:val="28"/>
          <w:u w:val="single"/>
        </w:rPr>
      </w:pPr>
    </w:p>
    <w:p w14:paraId="1425A5AD" w14:textId="3A0A0AA1" w:rsidR="00593699" w:rsidRPr="00E07D41" w:rsidRDefault="00593699" w:rsidP="00E07D41">
      <w:pPr>
        <w:rPr>
          <w:b/>
          <w:bCs/>
          <w:color w:val="2F5496" w:themeColor="accent1" w:themeShade="BF"/>
          <w:sz w:val="28"/>
          <w:szCs w:val="28"/>
          <w:u w:val="single"/>
        </w:rPr>
      </w:pPr>
      <w:r w:rsidRPr="00E07D41">
        <w:rPr>
          <w:b/>
          <w:bCs/>
          <w:color w:val="2F5496" w:themeColor="accent1" w:themeShade="BF"/>
          <w:sz w:val="28"/>
          <w:szCs w:val="28"/>
          <w:u w:val="single"/>
        </w:rPr>
        <w:t>Introduction :</w:t>
      </w:r>
    </w:p>
    <w:p w14:paraId="20103470" w14:textId="77777777" w:rsidR="00593699" w:rsidRDefault="00593699" w:rsidP="00593699">
      <w:pPr>
        <w:rPr>
          <w:b/>
          <w:bCs/>
        </w:rPr>
      </w:pPr>
      <w:r w:rsidRPr="00593699">
        <w:t xml:space="preserve">Le TDAH est un trouble neurodéveloppemental fréquent de l’enfant et de l’adolescent, avec une efficacité démontrée des traitements pharmacologiques (stimulants et non-stimulants). Cependant, une proportion significative de patients présente une </w:t>
      </w:r>
      <w:r w:rsidRPr="00593699">
        <w:rPr>
          <w:b/>
          <w:bCs/>
        </w:rPr>
        <w:t>réponse insuffisante</w:t>
      </w:r>
      <w:r w:rsidRPr="00593699">
        <w:t xml:space="preserve"> ou des </w:t>
      </w:r>
      <w:r w:rsidRPr="00593699">
        <w:rPr>
          <w:b/>
          <w:bCs/>
        </w:rPr>
        <w:t>effets indésirables</w:t>
      </w:r>
      <w:r w:rsidRPr="00593699">
        <w:t xml:space="preserve">. L’enjeu est donc d’identifier des </w:t>
      </w:r>
      <w:r w:rsidRPr="00593699">
        <w:rPr>
          <w:b/>
          <w:bCs/>
        </w:rPr>
        <w:t>facteurs cliniques pertinents</w:t>
      </w:r>
      <w:r w:rsidRPr="00593699">
        <w:t xml:space="preserve"> permettant de prédire la réponse au traitement.</w:t>
      </w:r>
      <w:r w:rsidRPr="00593699">
        <w:br/>
        <w:t xml:space="preserve">L’étude présentée a pour objectif d’examiner ces facteurs dans une </w:t>
      </w:r>
      <w:r w:rsidRPr="00593699">
        <w:rPr>
          <w:b/>
          <w:bCs/>
        </w:rPr>
        <w:t>grande cohorte prospective (N = 638)</w:t>
      </w:r>
      <w:r w:rsidRPr="00593699">
        <w:t>, représentative de la pratique clinique réelle.</w:t>
      </w:r>
    </w:p>
    <w:p w14:paraId="6D1563BD" w14:textId="12DAB758" w:rsidR="00593699" w:rsidRPr="00F71D27" w:rsidRDefault="00593699" w:rsidP="00593699">
      <w:pPr>
        <w:pStyle w:val="Paragraphedeliste"/>
        <w:numPr>
          <w:ilvl w:val="0"/>
          <w:numId w:val="4"/>
        </w:numPr>
        <w:rPr>
          <w:b/>
          <w:bCs/>
          <w:color w:val="2F5496" w:themeColor="accent1" w:themeShade="BF"/>
          <w:sz w:val="28"/>
          <w:szCs w:val="28"/>
          <w:u w:val="single"/>
        </w:rPr>
      </w:pPr>
      <w:r w:rsidRPr="00F71D27">
        <w:rPr>
          <w:b/>
          <w:bCs/>
          <w:color w:val="2F5496" w:themeColor="accent1" w:themeShade="BF"/>
          <w:sz w:val="28"/>
          <w:szCs w:val="28"/>
          <w:u w:val="single"/>
        </w:rPr>
        <w:t>Méthodes :</w:t>
      </w:r>
    </w:p>
    <w:p w14:paraId="68A02BD0" w14:textId="77777777" w:rsidR="00593699" w:rsidRPr="00593699" w:rsidRDefault="00593699" w:rsidP="00593699">
      <w:r w:rsidRPr="00593699">
        <w:t xml:space="preserve">L’étude est une </w:t>
      </w:r>
      <w:r w:rsidRPr="00593699">
        <w:rPr>
          <w:b/>
          <w:bCs/>
        </w:rPr>
        <w:t>cohorte prospective multicentrique</w:t>
      </w:r>
      <w:r w:rsidRPr="00593699">
        <w:t xml:space="preserve">, incluant </w:t>
      </w:r>
      <w:r w:rsidRPr="00593699">
        <w:rPr>
          <w:b/>
          <w:bCs/>
        </w:rPr>
        <w:t>638 enfants et adolescents</w:t>
      </w:r>
      <w:r w:rsidRPr="00593699">
        <w:t xml:space="preserve"> atteints de TDAH suivis dans des conditions de soins réels.</w:t>
      </w:r>
    </w:p>
    <w:p w14:paraId="63BDC8F7" w14:textId="77777777" w:rsidR="00593699" w:rsidRPr="00593699" w:rsidRDefault="00593699" w:rsidP="00593699">
      <w:pPr>
        <w:numPr>
          <w:ilvl w:val="0"/>
          <w:numId w:val="1"/>
        </w:numPr>
        <w:tabs>
          <w:tab w:val="num" w:pos="720"/>
        </w:tabs>
      </w:pPr>
      <w:r w:rsidRPr="00593699">
        <w:rPr>
          <w:b/>
          <w:bCs/>
        </w:rPr>
        <w:t>Objectif :</w:t>
      </w:r>
      <w:r w:rsidRPr="00593699">
        <w:t xml:space="preserve"> identifier les </w:t>
      </w:r>
      <w:r w:rsidRPr="00593699">
        <w:rPr>
          <w:b/>
          <w:bCs/>
        </w:rPr>
        <w:t>facteurs cliniques associés à la réponse au traitement médicamenteux</w:t>
      </w:r>
      <w:r w:rsidRPr="00593699">
        <w:t xml:space="preserve"> du TDAH.</w:t>
      </w:r>
    </w:p>
    <w:p w14:paraId="02D395FC" w14:textId="77777777" w:rsidR="00593699" w:rsidRPr="00593699" w:rsidRDefault="00593699" w:rsidP="00593699">
      <w:pPr>
        <w:numPr>
          <w:ilvl w:val="0"/>
          <w:numId w:val="1"/>
        </w:numPr>
        <w:tabs>
          <w:tab w:val="num" w:pos="720"/>
        </w:tabs>
      </w:pPr>
      <w:r w:rsidRPr="00593699">
        <w:rPr>
          <w:b/>
          <w:bCs/>
        </w:rPr>
        <w:t>Évaluation clinique :</w:t>
      </w:r>
    </w:p>
    <w:p w14:paraId="0A2D8764" w14:textId="77777777" w:rsidR="00593699" w:rsidRPr="00593699" w:rsidRDefault="00593699" w:rsidP="00593699">
      <w:pPr>
        <w:numPr>
          <w:ilvl w:val="1"/>
          <w:numId w:val="1"/>
        </w:numPr>
        <w:tabs>
          <w:tab w:val="num" w:pos="1440"/>
        </w:tabs>
      </w:pPr>
      <w:r w:rsidRPr="00593699">
        <w:t>Symptômes de TDAH mesurés par l’</w:t>
      </w:r>
      <w:r w:rsidRPr="00593699">
        <w:rPr>
          <w:b/>
          <w:bCs/>
        </w:rPr>
        <w:t xml:space="preserve">ADHD Rating </w:t>
      </w:r>
      <w:proofErr w:type="spellStart"/>
      <w:r w:rsidRPr="00593699">
        <w:rPr>
          <w:b/>
          <w:bCs/>
        </w:rPr>
        <w:t>Scale</w:t>
      </w:r>
      <w:proofErr w:type="spellEnd"/>
      <w:r w:rsidRPr="00593699">
        <w:rPr>
          <w:b/>
          <w:bCs/>
        </w:rPr>
        <w:t xml:space="preserve"> (ADHD-RS)</w:t>
      </w:r>
      <w:r w:rsidRPr="00593699">
        <w:t>,</w:t>
      </w:r>
    </w:p>
    <w:p w14:paraId="0FAFCC91" w14:textId="77777777" w:rsidR="00593699" w:rsidRPr="00593699" w:rsidRDefault="00593699" w:rsidP="00593699">
      <w:pPr>
        <w:numPr>
          <w:ilvl w:val="1"/>
          <w:numId w:val="1"/>
        </w:numPr>
        <w:tabs>
          <w:tab w:val="num" w:pos="1440"/>
        </w:tabs>
      </w:pPr>
      <w:r w:rsidRPr="00593699">
        <w:t xml:space="preserve">Fonctionnement global par la </w:t>
      </w:r>
      <w:proofErr w:type="spellStart"/>
      <w:r w:rsidRPr="00593699">
        <w:rPr>
          <w:b/>
          <w:bCs/>
        </w:rPr>
        <w:t>Clinical</w:t>
      </w:r>
      <w:proofErr w:type="spellEnd"/>
      <w:r w:rsidRPr="00593699">
        <w:rPr>
          <w:b/>
          <w:bCs/>
        </w:rPr>
        <w:t xml:space="preserve"> Global Impression – </w:t>
      </w:r>
      <w:proofErr w:type="spellStart"/>
      <w:r w:rsidRPr="00593699">
        <w:rPr>
          <w:b/>
          <w:bCs/>
        </w:rPr>
        <w:t>Severity</w:t>
      </w:r>
      <w:proofErr w:type="spellEnd"/>
      <w:r w:rsidRPr="00593699">
        <w:rPr>
          <w:b/>
          <w:bCs/>
        </w:rPr>
        <w:t xml:space="preserve"> (CGI-S)</w:t>
      </w:r>
      <w:r w:rsidRPr="00593699">
        <w:t xml:space="preserve"> et la </w:t>
      </w:r>
      <w:proofErr w:type="spellStart"/>
      <w:r w:rsidRPr="00593699">
        <w:rPr>
          <w:b/>
          <w:bCs/>
        </w:rPr>
        <w:t>Clinical</w:t>
      </w:r>
      <w:proofErr w:type="spellEnd"/>
      <w:r w:rsidRPr="00593699">
        <w:rPr>
          <w:b/>
          <w:bCs/>
        </w:rPr>
        <w:t xml:space="preserve"> Global Impression – </w:t>
      </w:r>
      <w:proofErr w:type="spellStart"/>
      <w:r w:rsidRPr="00593699">
        <w:rPr>
          <w:b/>
          <w:bCs/>
        </w:rPr>
        <w:t>Improvement</w:t>
      </w:r>
      <w:proofErr w:type="spellEnd"/>
      <w:r w:rsidRPr="00593699">
        <w:rPr>
          <w:b/>
          <w:bCs/>
        </w:rPr>
        <w:t xml:space="preserve"> (CGI-I)</w:t>
      </w:r>
      <w:r w:rsidRPr="00593699">
        <w:t>,</w:t>
      </w:r>
    </w:p>
    <w:p w14:paraId="66479AD9" w14:textId="77777777" w:rsidR="00593699" w:rsidRPr="00593699" w:rsidRDefault="00593699" w:rsidP="00593699">
      <w:pPr>
        <w:numPr>
          <w:ilvl w:val="1"/>
          <w:numId w:val="1"/>
        </w:numPr>
        <w:tabs>
          <w:tab w:val="num" w:pos="1440"/>
        </w:tabs>
      </w:pPr>
      <w:r w:rsidRPr="00593699">
        <w:t xml:space="preserve">Présence de comorbidités par le </w:t>
      </w:r>
      <w:proofErr w:type="spellStart"/>
      <w:r w:rsidRPr="00593699">
        <w:rPr>
          <w:b/>
          <w:bCs/>
        </w:rPr>
        <w:t>Kiddie</w:t>
      </w:r>
      <w:proofErr w:type="spellEnd"/>
      <w:r w:rsidRPr="00593699">
        <w:rPr>
          <w:b/>
          <w:bCs/>
        </w:rPr>
        <w:t xml:space="preserve">-Schedule for Affective </w:t>
      </w:r>
      <w:proofErr w:type="spellStart"/>
      <w:r w:rsidRPr="00593699">
        <w:rPr>
          <w:b/>
          <w:bCs/>
        </w:rPr>
        <w:t>Disorders</w:t>
      </w:r>
      <w:proofErr w:type="spellEnd"/>
      <w:r w:rsidRPr="00593699">
        <w:rPr>
          <w:b/>
          <w:bCs/>
        </w:rPr>
        <w:t xml:space="preserve"> and </w:t>
      </w:r>
      <w:proofErr w:type="spellStart"/>
      <w:r w:rsidRPr="00593699">
        <w:rPr>
          <w:b/>
          <w:bCs/>
        </w:rPr>
        <w:t>Schizophrenia</w:t>
      </w:r>
      <w:proofErr w:type="spellEnd"/>
      <w:r w:rsidRPr="00593699">
        <w:rPr>
          <w:b/>
          <w:bCs/>
        </w:rPr>
        <w:t xml:space="preserve"> (K-SADS)</w:t>
      </w:r>
      <w:r w:rsidRPr="00593699">
        <w:t>,</w:t>
      </w:r>
    </w:p>
    <w:p w14:paraId="640C7306" w14:textId="77777777" w:rsidR="00593699" w:rsidRPr="00593699" w:rsidRDefault="00593699" w:rsidP="00593699">
      <w:pPr>
        <w:numPr>
          <w:ilvl w:val="1"/>
          <w:numId w:val="1"/>
        </w:numPr>
        <w:tabs>
          <w:tab w:val="num" w:pos="1440"/>
        </w:tabs>
      </w:pPr>
      <w:r w:rsidRPr="00593699">
        <w:t xml:space="preserve">Troubles du comportement par la </w:t>
      </w:r>
      <w:proofErr w:type="spellStart"/>
      <w:r w:rsidRPr="00593699">
        <w:rPr>
          <w:b/>
          <w:bCs/>
        </w:rPr>
        <w:t>Strengths</w:t>
      </w:r>
      <w:proofErr w:type="spellEnd"/>
      <w:r w:rsidRPr="00593699">
        <w:rPr>
          <w:b/>
          <w:bCs/>
        </w:rPr>
        <w:t xml:space="preserve"> and </w:t>
      </w:r>
      <w:proofErr w:type="spellStart"/>
      <w:r w:rsidRPr="00593699">
        <w:rPr>
          <w:b/>
          <w:bCs/>
        </w:rPr>
        <w:t>Difficulties</w:t>
      </w:r>
      <w:proofErr w:type="spellEnd"/>
      <w:r w:rsidRPr="00593699">
        <w:rPr>
          <w:b/>
          <w:bCs/>
        </w:rPr>
        <w:t xml:space="preserve"> Questionnaire (SDQ)</w:t>
      </w:r>
      <w:r w:rsidRPr="00593699">
        <w:t>,</w:t>
      </w:r>
    </w:p>
    <w:p w14:paraId="4CA59CD3" w14:textId="77777777" w:rsidR="00593699" w:rsidRPr="00593699" w:rsidRDefault="00593699" w:rsidP="00593699">
      <w:pPr>
        <w:numPr>
          <w:ilvl w:val="1"/>
          <w:numId w:val="1"/>
        </w:numPr>
        <w:tabs>
          <w:tab w:val="num" w:pos="1440"/>
        </w:tabs>
      </w:pPr>
      <w:r w:rsidRPr="00593699">
        <w:t>Données supplémentaires par l’</w:t>
      </w:r>
      <w:r w:rsidRPr="00593699">
        <w:rPr>
          <w:b/>
          <w:bCs/>
        </w:rPr>
        <w:t xml:space="preserve">Inventory of </w:t>
      </w:r>
      <w:proofErr w:type="spellStart"/>
      <w:r w:rsidRPr="00593699">
        <w:rPr>
          <w:b/>
          <w:bCs/>
        </w:rPr>
        <w:t>Callous-Unemotional</w:t>
      </w:r>
      <w:proofErr w:type="spellEnd"/>
      <w:r w:rsidRPr="00593699">
        <w:rPr>
          <w:b/>
          <w:bCs/>
        </w:rPr>
        <w:t xml:space="preserve"> Traits (ICU)</w:t>
      </w:r>
      <w:r w:rsidRPr="00593699">
        <w:t xml:space="preserve"> et l’</w:t>
      </w:r>
      <w:r w:rsidRPr="00593699">
        <w:rPr>
          <w:b/>
          <w:bCs/>
        </w:rPr>
        <w:t>échelle de fonctionnement global (GAF)</w:t>
      </w:r>
      <w:r w:rsidRPr="00593699">
        <w:t>.</w:t>
      </w:r>
    </w:p>
    <w:p w14:paraId="087E16DC" w14:textId="77777777" w:rsidR="00593699" w:rsidRPr="00593699" w:rsidRDefault="00593699" w:rsidP="00593699">
      <w:pPr>
        <w:numPr>
          <w:ilvl w:val="0"/>
          <w:numId w:val="1"/>
        </w:numPr>
        <w:tabs>
          <w:tab w:val="num" w:pos="720"/>
        </w:tabs>
      </w:pPr>
      <w:r w:rsidRPr="00593699">
        <w:rPr>
          <w:b/>
          <w:bCs/>
        </w:rPr>
        <w:t>Traitements analysés :</w:t>
      </w:r>
      <w:r w:rsidRPr="00593699">
        <w:t xml:space="preserve"> stimulants (méthylphénidate, amphétamines) et non-stimulants (</w:t>
      </w:r>
      <w:proofErr w:type="spellStart"/>
      <w:r w:rsidRPr="00593699">
        <w:t>atomoxétine</w:t>
      </w:r>
      <w:proofErr w:type="spellEnd"/>
      <w:r w:rsidRPr="00593699">
        <w:t xml:space="preserve">, </w:t>
      </w:r>
      <w:proofErr w:type="spellStart"/>
      <w:r w:rsidRPr="00593699">
        <w:t>guanfacine</w:t>
      </w:r>
      <w:proofErr w:type="spellEnd"/>
      <w:r w:rsidRPr="00593699">
        <w:t xml:space="preserve">, </w:t>
      </w:r>
      <w:proofErr w:type="spellStart"/>
      <w:r w:rsidRPr="00593699">
        <w:t>clonidine</w:t>
      </w:r>
      <w:proofErr w:type="spellEnd"/>
      <w:r w:rsidRPr="00593699">
        <w:t>).</w:t>
      </w:r>
    </w:p>
    <w:p w14:paraId="4920A121" w14:textId="00FC5A22" w:rsidR="00E34462" w:rsidRDefault="00593699" w:rsidP="001222B9">
      <w:pPr>
        <w:numPr>
          <w:ilvl w:val="0"/>
          <w:numId w:val="1"/>
        </w:numPr>
      </w:pPr>
      <w:r w:rsidRPr="00593699">
        <w:rPr>
          <w:b/>
          <w:bCs/>
        </w:rPr>
        <w:lastRenderedPageBreak/>
        <w:t>Critère principal de jugement :</w:t>
      </w:r>
      <w:r w:rsidRPr="00593699">
        <w:t xml:space="preserve"> réponse au traitement définie par une amélioration cliniquement significative de l’ADHD-RS et du CGI-I après plusieurs semaines de suivi.</w:t>
      </w:r>
    </w:p>
    <w:p w14:paraId="0C8EB1B1" w14:textId="55B97953" w:rsidR="001222B9" w:rsidRPr="00F71D27" w:rsidRDefault="001222B9" w:rsidP="001222B9">
      <w:pPr>
        <w:pStyle w:val="Paragraphedeliste"/>
        <w:numPr>
          <w:ilvl w:val="0"/>
          <w:numId w:val="4"/>
        </w:numPr>
        <w:rPr>
          <w:b/>
          <w:bCs/>
          <w:color w:val="2F5496" w:themeColor="accent1" w:themeShade="BF"/>
          <w:sz w:val="28"/>
          <w:szCs w:val="28"/>
          <w:u w:val="single"/>
        </w:rPr>
      </w:pPr>
      <w:r w:rsidRPr="00F71D27">
        <w:rPr>
          <w:b/>
          <w:bCs/>
          <w:color w:val="2F5496" w:themeColor="accent1" w:themeShade="BF"/>
          <w:sz w:val="28"/>
          <w:szCs w:val="28"/>
          <w:u w:val="single"/>
        </w:rPr>
        <w:t>Résultats :</w:t>
      </w:r>
    </w:p>
    <w:p w14:paraId="59439DA1" w14:textId="77777777" w:rsidR="001222B9" w:rsidRPr="001222B9" w:rsidRDefault="001222B9" w:rsidP="001222B9">
      <w:pPr>
        <w:rPr>
          <w:b/>
          <w:bCs/>
        </w:rPr>
      </w:pPr>
      <w:r w:rsidRPr="001222B9">
        <w:rPr>
          <w:b/>
          <w:bCs/>
        </w:rPr>
        <w:t>a) Caractéristiques de la population</w:t>
      </w:r>
    </w:p>
    <w:p w14:paraId="12030A86" w14:textId="77777777" w:rsidR="001222B9" w:rsidRPr="001222B9" w:rsidRDefault="001222B9" w:rsidP="001222B9">
      <w:pPr>
        <w:numPr>
          <w:ilvl w:val="0"/>
          <w:numId w:val="5"/>
        </w:numPr>
      </w:pPr>
      <w:r w:rsidRPr="001222B9">
        <w:rPr>
          <w:b/>
          <w:bCs/>
        </w:rPr>
        <w:t>Nombre total inclus</w:t>
      </w:r>
      <w:r w:rsidRPr="001222B9">
        <w:t xml:space="preserve"> : 638 enfants/adolescents.</w:t>
      </w:r>
    </w:p>
    <w:p w14:paraId="19B772C6" w14:textId="77777777" w:rsidR="001222B9" w:rsidRPr="001222B9" w:rsidRDefault="001222B9" w:rsidP="001222B9">
      <w:pPr>
        <w:numPr>
          <w:ilvl w:val="0"/>
          <w:numId w:val="5"/>
        </w:numPr>
      </w:pPr>
      <w:r w:rsidRPr="001222B9">
        <w:rPr>
          <w:b/>
          <w:bCs/>
        </w:rPr>
        <w:t>Âge moyen</w:t>
      </w:r>
      <w:r w:rsidRPr="001222B9">
        <w:t xml:space="preserve"> : 11,6 ans (médiane 12 ans).</w:t>
      </w:r>
    </w:p>
    <w:p w14:paraId="2DBAE355" w14:textId="77777777" w:rsidR="001222B9" w:rsidRPr="001222B9" w:rsidRDefault="001222B9" w:rsidP="001222B9">
      <w:pPr>
        <w:numPr>
          <w:ilvl w:val="0"/>
          <w:numId w:val="5"/>
        </w:numPr>
      </w:pPr>
      <w:r w:rsidRPr="001222B9">
        <w:rPr>
          <w:b/>
          <w:bCs/>
        </w:rPr>
        <w:t>Sexe</w:t>
      </w:r>
      <w:r w:rsidRPr="001222B9">
        <w:t xml:space="preserve"> : 63,5 % garçons (N = 405).</w:t>
      </w:r>
    </w:p>
    <w:p w14:paraId="75AFFFB4" w14:textId="77777777" w:rsidR="001222B9" w:rsidRPr="001222B9" w:rsidRDefault="001222B9" w:rsidP="001222B9">
      <w:pPr>
        <w:numPr>
          <w:ilvl w:val="0"/>
          <w:numId w:val="5"/>
        </w:numPr>
      </w:pPr>
      <w:r w:rsidRPr="001222B9">
        <w:rPr>
          <w:b/>
          <w:bCs/>
        </w:rPr>
        <w:t>Répartition géographique</w:t>
      </w:r>
      <w:r w:rsidRPr="001222B9">
        <w:t xml:space="preserve"> : 82 % Stockholm (N = 522), 15 % Västerbotten (N = 97), 3 % Gotland (N = 19).</w:t>
      </w:r>
    </w:p>
    <w:p w14:paraId="7BF195B2" w14:textId="77777777" w:rsidR="001222B9" w:rsidRPr="001222B9" w:rsidRDefault="001222B9" w:rsidP="001222B9">
      <w:pPr>
        <w:numPr>
          <w:ilvl w:val="0"/>
          <w:numId w:val="5"/>
        </w:numPr>
      </w:pPr>
      <w:r w:rsidRPr="001222B9">
        <w:rPr>
          <w:b/>
          <w:bCs/>
        </w:rPr>
        <w:t>Perdus de vue</w:t>
      </w:r>
      <w:r w:rsidRPr="001222B9">
        <w:t xml:space="preserve"> : 216 au suivi de 3 mois.</w:t>
      </w:r>
    </w:p>
    <w:p w14:paraId="7E08D0DC" w14:textId="77777777" w:rsidR="001222B9" w:rsidRPr="001222B9" w:rsidRDefault="001222B9" w:rsidP="001222B9">
      <w:pPr>
        <w:numPr>
          <w:ilvl w:val="0"/>
          <w:numId w:val="5"/>
        </w:numPr>
      </w:pPr>
      <w:r w:rsidRPr="001222B9">
        <w:rPr>
          <w:b/>
          <w:bCs/>
        </w:rPr>
        <w:t>Exclus (SNAP-IV manquant)</w:t>
      </w:r>
      <w:r w:rsidRPr="001222B9">
        <w:t xml:space="preserve"> : 3.</w:t>
      </w:r>
    </w:p>
    <w:p w14:paraId="13AAC7BF" w14:textId="77777777" w:rsidR="00F71D27" w:rsidRDefault="001222B9" w:rsidP="00F71D27">
      <w:pPr>
        <w:numPr>
          <w:ilvl w:val="0"/>
          <w:numId w:val="5"/>
        </w:numPr>
      </w:pPr>
      <w:r w:rsidRPr="001222B9">
        <w:rPr>
          <w:b/>
          <w:bCs/>
        </w:rPr>
        <w:t>Cohorte finale analysée</w:t>
      </w:r>
      <w:r w:rsidRPr="001222B9">
        <w:t xml:space="preserve"> : 419 participants.</w:t>
      </w:r>
    </w:p>
    <w:p w14:paraId="355E82CF" w14:textId="5A3A8FC8" w:rsidR="001222B9" w:rsidRPr="001222B9" w:rsidRDefault="001222B9" w:rsidP="00F71D27">
      <w:r w:rsidRPr="001222B9">
        <w:rPr>
          <w:b/>
          <w:bCs/>
        </w:rPr>
        <w:t>b) Analyses de régression logistique multinomiale</w:t>
      </w:r>
    </w:p>
    <w:p w14:paraId="05CD13F2" w14:textId="77777777" w:rsidR="001222B9" w:rsidRPr="001222B9" w:rsidRDefault="001222B9" w:rsidP="001222B9">
      <w:pPr>
        <w:numPr>
          <w:ilvl w:val="0"/>
          <w:numId w:val="6"/>
        </w:numPr>
        <w:tabs>
          <w:tab w:val="num" w:pos="720"/>
        </w:tabs>
      </w:pPr>
      <w:r w:rsidRPr="001222B9">
        <w:t xml:space="preserve">Les analyses univariées ont montré une </w:t>
      </w:r>
      <w:r w:rsidRPr="001222B9">
        <w:rPr>
          <w:b/>
          <w:bCs/>
        </w:rPr>
        <w:t>association significative</w:t>
      </w:r>
      <w:r w:rsidRPr="001222B9">
        <w:t xml:space="preserve"> entre :</w:t>
      </w:r>
    </w:p>
    <w:p w14:paraId="2782EF1A" w14:textId="77777777" w:rsidR="001222B9" w:rsidRPr="001222B9" w:rsidRDefault="001222B9" w:rsidP="001222B9">
      <w:pPr>
        <w:numPr>
          <w:ilvl w:val="1"/>
          <w:numId w:val="6"/>
        </w:numPr>
        <w:tabs>
          <w:tab w:val="num" w:pos="1440"/>
        </w:tabs>
      </w:pPr>
      <w:r w:rsidRPr="001222B9">
        <w:t xml:space="preserve">Scores totaux </w:t>
      </w:r>
      <w:r w:rsidRPr="001222B9">
        <w:rPr>
          <w:b/>
          <w:bCs/>
        </w:rPr>
        <w:t>SNAP-IV</w:t>
      </w:r>
      <w:r w:rsidRPr="001222B9">
        <w:t>,</w:t>
      </w:r>
    </w:p>
    <w:p w14:paraId="651B7729" w14:textId="77777777" w:rsidR="001222B9" w:rsidRPr="001222B9" w:rsidRDefault="001222B9" w:rsidP="001222B9">
      <w:pPr>
        <w:numPr>
          <w:ilvl w:val="1"/>
          <w:numId w:val="6"/>
        </w:numPr>
        <w:tabs>
          <w:tab w:val="num" w:pos="1440"/>
        </w:tabs>
      </w:pPr>
      <w:r w:rsidRPr="001222B9">
        <w:t>Scores d’</w:t>
      </w:r>
      <w:r w:rsidRPr="001222B9">
        <w:rPr>
          <w:b/>
          <w:bCs/>
        </w:rPr>
        <w:t>inattention</w:t>
      </w:r>
      <w:r w:rsidRPr="001222B9">
        <w:t>,</w:t>
      </w:r>
    </w:p>
    <w:p w14:paraId="69B73B01" w14:textId="77777777" w:rsidR="001222B9" w:rsidRPr="001222B9" w:rsidRDefault="001222B9" w:rsidP="001222B9">
      <w:pPr>
        <w:numPr>
          <w:ilvl w:val="1"/>
          <w:numId w:val="6"/>
        </w:numPr>
        <w:tabs>
          <w:tab w:val="num" w:pos="1440"/>
        </w:tabs>
      </w:pPr>
      <w:r w:rsidRPr="001222B9">
        <w:t>Scores d’</w:t>
      </w:r>
      <w:r w:rsidRPr="001222B9">
        <w:rPr>
          <w:b/>
          <w:bCs/>
        </w:rPr>
        <w:t>hyperactivité/impulsivité</w:t>
      </w:r>
      <w:r w:rsidRPr="001222B9">
        <w:t>,</w:t>
      </w:r>
    </w:p>
    <w:p w14:paraId="355F90C5" w14:textId="77777777" w:rsidR="001222B9" w:rsidRPr="001222B9" w:rsidRDefault="001222B9" w:rsidP="001222B9">
      <w:pPr>
        <w:numPr>
          <w:ilvl w:val="1"/>
          <w:numId w:val="6"/>
        </w:numPr>
        <w:tabs>
          <w:tab w:val="num" w:pos="1440"/>
        </w:tabs>
      </w:pPr>
      <w:r w:rsidRPr="001222B9">
        <w:t>Scores combinés,</w:t>
      </w:r>
    </w:p>
    <w:p w14:paraId="2E41B5A0" w14:textId="77777777" w:rsidR="001222B9" w:rsidRPr="001222B9" w:rsidRDefault="001222B9" w:rsidP="001222B9">
      <w:pPr>
        <w:numPr>
          <w:ilvl w:val="1"/>
          <w:numId w:val="6"/>
        </w:numPr>
        <w:tabs>
          <w:tab w:val="num" w:pos="1440"/>
        </w:tabs>
      </w:pPr>
      <w:r w:rsidRPr="001222B9">
        <w:rPr>
          <w:b/>
          <w:bCs/>
        </w:rPr>
        <w:t>Région</w:t>
      </w:r>
      <w:r w:rsidRPr="001222B9">
        <w:t>,</w:t>
      </w:r>
    </w:p>
    <w:p w14:paraId="29E18FB9" w14:textId="77777777" w:rsidR="001222B9" w:rsidRPr="001222B9" w:rsidRDefault="001222B9" w:rsidP="001222B9">
      <w:pPr>
        <w:numPr>
          <w:ilvl w:val="1"/>
          <w:numId w:val="6"/>
        </w:numPr>
        <w:tabs>
          <w:tab w:val="num" w:pos="1440"/>
        </w:tabs>
      </w:pPr>
      <w:r w:rsidRPr="001222B9">
        <w:rPr>
          <w:b/>
          <w:bCs/>
        </w:rPr>
        <w:t>Âge relatif</w:t>
      </w:r>
      <w:r w:rsidRPr="001222B9">
        <w:t>,</w:t>
      </w:r>
    </w:p>
    <w:p w14:paraId="4D536274" w14:textId="77777777" w:rsidR="001222B9" w:rsidRPr="001222B9" w:rsidRDefault="001222B9" w:rsidP="001222B9">
      <w:pPr>
        <w:numPr>
          <w:ilvl w:val="1"/>
          <w:numId w:val="6"/>
        </w:numPr>
        <w:tabs>
          <w:tab w:val="num" w:pos="1440"/>
        </w:tabs>
      </w:pPr>
      <w:r w:rsidRPr="001222B9">
        <w:t>Initiation du traitement au suivi de 3 mois.</w:t>
      </w:r>
    </w:p>
    <w:p w14:paraId="12F4E977" w14:textId="77777777" w:rsidR="001222B9" w:rsidRPr="001222B9" w:rsidRDefault="001222B9" w:rsidP="001222B9">
      <w:pPr>
        <w:numPr>
          <w:ilvl w:val="0"/>
          <w:numId w:val="6"/>
        </w:numPr>
        <w:tabs>
          <w:tab w:val="num" w:pos="720"/>
        </w:tabs>
      </w:pPr>
      <w:r w:rsidRPr="001222B9">
        <w:t xml:space="preserve">Les valeurs de pseudo R² de McFadden étaient </w:t>
      </w:r>
      <w:r w:rsidRPr="001222B9">
        <w:rPr>
          <w:b/>
          <w:bCs/>
        </w:rPr>
        <w:t>faibles</w:t>
      </w:r>
      <w:r w:rsidRPr="001222B9">
        <w:t xml:space="preserve"> (0,007 à 0,018), indiquant que ces variables expliquaient peu de variance.</w:t>
      </w:r>
    </w:p>
    <w:p w14:paraId="6FEB2955" w14:textId="77777777" w:rsidR="00F71D27" w:rsidRDefault="001222B9" w:rsidP="00F71D27">
      <w:pPr>
        <w:numPr>
          <w:ilvl w:val="0"/>
          <w:numId w:val="6"/>
        </w:numPr>
      </w:pPr>
      <w:r w:rsidRPr="001222B9">
        <w:t>Aucune interaction significative entre variables indépendantes n’a été retrouvée.</w:t>
      </w:r>
    </w:p>
    <w:p w14:paraId="7783F638" w14:textId="649CD6D9" w:rsidR="001222B9" w:rsidRPr="001222B9" w:rsidRDefault="001222B9" w:rsidP="00F71D27">
      <w:r w:rsidRPr="001222B9">
        <w:rPr>
          <w:b/>
          <w:bCs/>
        </w:rPr>
        <w:t>c) Modèles de Machine Learning</w:t>
      </w:r>
    </w:p>
    <w:p w14:paraId="1C89B98F" w14:textId="77777777" w:rsidR="001222B9" w:rsidRPr="001222B9" w:rsidRDefault="001222B9" w:rsidP="001222B9">
      <w:pPr>
        <w:numPr>
          <w:ilvl w:val="0"/>
          <w:numId w:val="7"/>
        </w:numPr>
        <w:tabs>
          <w:tab w:val="num" w:pos="720"/>
        </w:tabs>
      </w:pPr>
      <w:r w:rsidRPr="001222B9">
        <w:t>Plusieurs modèles testés, incluant 13 variables cliniques.</w:t>
      </w:r>
    </w:p>
    <w:p w14:paraId="6AA0561F" w14:textId="77777777" w:rsidR="001222B9" w:rsidRPr="001222B9" w:rsidRDefault="001222B9" w:rsidP="001222B9">
      <w:pPr>
        <w:numPr>
          <w:ilvl w:val="0"/>
          <w:numId w:val="7"/>
        </w:numPr>
        <w:tabs>
          <w:tab w:val="num" w:pos="720"/>
        </w:tabs>
      </w:pPr>
      <w:r w:rsidRPr="001222B9">
        <w:t xml:space="preserve">Le modèle </w:t>
      </w:r>
      <w:r w:rsidRPr="001222B9">
        <w:rPr>
          <w:b/>
          <w:bCs/>
        </w:rPr>
        <w:t>Bootstrap Forest</w:t>
      </w:r>
      <w:r w:rsidRPr="001222B9">
        <w:t xml:space="preserve"> a montré la meilleure performance sur l’échantillon d’entraînement.</w:t>
      </w:r>
    </w:p>
    <w:p w14:paraId="2414E5CA" w14:textId="77777777" w:rsidR="001222B9" w:rsidRPr="001222B9" w:rsidRDefault="001222B9" w:rsidP="001222B9">
      <w:pPr>
        <w:numPr>
          <w:ilvl w:val="0"/>
          <w:numId w:val="7"/>
        </w:numPr>
        <w:tabs>
          <w:tab w:val="num" w:pos="720"/>
        </w:tabs>
      </w:pPr>
      <w:r w:rsidRPr="001222B9">
        <w:t xml:space="preserve">Cependant, sur le </w:t>
      </w:r>
      <w:r w:rsidRPr="001222B9">
        <w:rPr>
          <w:b/>
          <w:bCs/>
        </w:rPr>
        <w:t>jeu de validation (25 % de l’échantillon indépendant)</w:t>
      </w:r>
      <w:r w:rsidRPr="001222B9">
        <w:t xml:space="preserve">, </w:t>
      </w:r>
      <w:r w:rsidRPr="001222B9">
        <w:rPr>
          <w:b/>
          <w:bCs/>
        </w:rPr>
        <w:t>aucun modèle n’a été significatif</w:t>
      </w:r>
      <w:r w:rsidRPr="001222B9">
        <w:t>, indiquant une faible valeur prédictive.</w:t>
      </w:r>
    </w:p>
    <w:p w14:paraId="70817F4D" w14:textId="31D23DA3" w:rsidR="001222B9" w:rsidRDefault="001222B9" w:rsidP="001222B9">
      <w:pPr>
        <w:rPr>
          <w:b/>
          <w:bCs/>
        </w:rPr>
      </w:pPr>
      <w:r w:rsidRPr="001222B9">
        <w:rPr>
          <w:b/>
          <w:bCs/>
        </w:rPr>
        <w:t>d) Données descriptives</w:t>
      </w:r>
      <w:r>
        <w:rPr>
          <w:b/>
          <w:bCs/>
        </w:rPr>
        <w:t> :</w:t>
      </w:r>
    </w:p>
    <w:p w14:paraId="046C9657" w14:textId="77777777" w:rsidR="001222B9" w:rsidRDefault="001222B9" w:rsidP="001222B9">
      <w:r w:rsidRPr="001222B9">
        <w:lastRenderedPageBreak/>
        <w:t xml:space="preserve">Les différences étaient visibles au niveau des </w:t>
      </w:r>
      <w:r w:rsidRPr="001222B9">
        <w:rPr>
          <w:b/>
          <w:bCs/>
        </w:rPr>
        <w:t>scores SNAP initiaux</w:t>
      </w:r>
      <w:r w:rsidRPr="001222B9">
        <w:t xml:space="preserve"> et de certaines variables sociodémographiques, mais globalement </w:t>
      </w:r>
      <w:r w:rsidRPr="001222B9">
        <w:rPr>
          <w:b/>
          <w:bCs/>
        </w:rPr>
        <w:t>aucun facteur n’a permis de prédire de façon fiable la réponse médicamenteuse</w:t>
      </w:r>
      <w:r w:rsidRPr="001222B9">
        <w:t>.</w:t>
      </w:r>
    </w:p>
    <w:p w14:paraId="62BA32FF" w14:textId="2CFB30D8" w:rsidR="001222B9" w:rsidRPr="00F71D27" w:rsidRDefault="001222B9" w:rsidP="001222B9">
      <w:pPr>
        <w:pStyle w:val="Paragraphedeliste"/>
        <w:numPr>
          <w:ilvl w:val="0"/>
          <w:numId w:val="4"/>
        </w:numPr>
        <w:rPr>
          <w:rFonts w:cstheme="minorHAnsi"/>
          <w:color w:val="2F5496" w:themeColor="accent1" w:themeShade="BF"/>
          <w:sz w:val="12"/>
          <w:szCs w:val="12"/>
          <w:u w:val="single"/>
        </w:rPr>
      </w:pPr>
      <w:r w:rsidRPr="00F71D27">
        <w:rPr>
          <w:rFonts w:eastAsia="Times New Roman" w:cstheme="minorHAnsi"/>
          <w:b/>
          <w:bCs/>
          <w:color w:val="2F5496" w:themeColor="accent1" w:themeShade="BF"/>
          <w:kern w:val="36"/>
          <w:sz w:val="28"/>
          <w:szCs w:val="28"/>
          <w:u w:val="single"/>
          <w:lang w:eastAsia="fr-MA"/>
          <w14:ligatures w14:val="none"/>
        </w:rPr>
        <w:t>Discussion</w:t>
      </w:r>
      <w:r w:rsidR="00F71D27" w:rsidRPr="00F71D27">
        <w:rPr>
          <w:rFonts w:eastAsia="Times New Roman" w:cstheme="minorHAnsi"/>
          <w:b/>
          <w:bCs/>
          <w:color w:val="2F5496" w:themeColor="accent1" w:themeShade="BF"/>
          <w:kern w:val="36"/>
          <w:sz w:val="28"/>
          <w:szCs w:val="28"/>
          <w:u w:val="single"/>
          <w:lang w:eastAsia="fr-MA"/>
          <w14:ligatures w14:val="none"/>
        </w:rPr>
        <w:t> :</w:t>
      </w:r>
    </w:p>
    <w:p w14:paraId="785163E2" w14:textId="77777777" w:rsidR="001222B9" w:rsidRPr="00F71D27" w:rsidRDefault="001222B9" w:rsidP="001222B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MA"/>
          <w14:ligatures w14:val="none"/>
        </w:rPr>
      </w:pP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Les auteurs soulignent que malgré l’utilisation d’une </w:t>
      </w:r>
      <w:r w:rsidRPr="001222B9">
        <w:rPr>
          <w:rFonts w:eastAsia="Times New Roman" w:cstheme="minorHAnsi"/>
          <w:b/>
          <w:bCs/>
          <w:kern w:val="0"/>
          <w:lang w:eastAsia="fr-MA"/>
          <w14:ligatures w14:val="none"/>
        </w:rPr>
        <w:t>grande cohorte prospective (N = 638)</w:t>
      </w: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 et l’examen de </w:t>
      </w:r>
      <w:r w:rsidRPr="001222B9">
        <w:rPr>
          <w:rFonts w:eastAsia="Times New Roman" w:cstheme="minorHAnsi"/>
          <w:b/>
          <w:bCs/>
          <w:kern w:val="0"/>
          <w:lang w:eastAsia="fr-MA"/>
          <w14:ligatures w14:val="none"/>
        </w:rPr>
        <w:t>plus de 20 variables cliniques et démographiques</w:t>
      </w: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, aucun facteur n’a permis de </w:t>
      </w:r>
      <w:r w:rsidRPr="001222B9">
        <w:rPr>
          <w:rFonts w:eastAsia="Times New Roman" w:cstheme="minorHAnsi"/>
          <w:b/>
          <w:bCs/>
          <w:kern w:val="0"/>
          <w:lang w:eastAsia="fr-MA"/>
          <w14:ligatures w14:val="none"/>
        </w:rPr>
        <w:t>prédire de manière fiable</w:t>
      </w: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 la réponse au traitement médicamenteux du TDAH.</w:t>
      </w:r>
    </w:p>
    <w:p w14:paraId="5EA4F843" w14:textId="18365B18" w:rsidR="001222B9" w:rsidRPr="001222B9" w:rsidRDefault="001222B9" w:rsidP="001222B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6"/>
          <w:szCs w:val="16"/>
          <w:lang w:eastAsia="fr-MA"/>
          <w14:ligatures w14:val="none"/>
        </w:rPr>
      </w:pPr>
      <w:r w:rsidRPr="001222B9">
        <w:rPr>
          <w:rFonts w:eastAsia="Times New Roman" w:cstheme="minorHAnsi"/>
          <w:b/>
          <w:bCs/>
          <w:kern w:val="0"/>
          <w:sz w:val="24"/>
          <w:szCs w:val="24"/>
          <w:lang w:eastAsia="fr-MA"/>
          <w14:ligatures w14:val="none"/>
        </w:rPr>
        <w:t>a</w:t>
      </w:r>
      <w:r w:rsidRPr="001222B9">
        <w:rPr>
          <w:rFonts w:eastAsia="Times New Roman" w:cstheme="minorHAnsi"/>
          <w:b/>
          <w:bCs/>
          <w:kern w:val="0"/>
          <w:lang w:eastAsia="fr-MA"/>
          <w14:ligatures w14:val="none"/>
        </w:rPr>
        <w:t>) Interprétation des résultats</w:t>
      </w:r>
    </w:p>
    <w:p w14:paraId="79D4FCED" w14:textId="77777777" w:rsidR="001222B9" w:rsidRPr="001222B9" w:rsidRDefault="001222B9" w:rsidP="001222B9">
      <w:pPr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MA"/>
          <w14:ligatures w14:val="none"/>
        </w:rPr>
      </w:pP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Les </w:t>
      </w:r>
      <w:r w:rsidRPr="001222B9">
        <w:rPr>
          <w:rFonts w:eastAsia="Times New Roman" w:cstheme="minorHAnsi"/>
          <w:b/>
          <w:bCs/>
          <w:kern w:val="0"/>
          <w:lang w:eastAsia="fr-MA"/>
          <w14:ligatures w14:val="none"/>
        </w:rPr>
        <w:t>scores initiaux du SNAP-IV</w:t>
      </w: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 (total, inattention, hyperactivité/impulsivité) étaient associés aux groupes de réponse en analyses univariées. Cependant, l’explication statistique restait très faible (pseudo R² &lt; 0,02).</w:t>
      </w:r>
    </w:p>
    <w:p w14:paraId="7AF80116" w14:textId="77777777" w:rsidR="001222B9" w:rsidRPr="001222B9" w:rsidRDefault="001222B9" w:rsidP="001222B9">
      <w:pPr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MA"/>
          <w14:ligatures w14:val="none"/>
        </w:rPr>
      </w:pP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Les </w:t>
      </w:r>
      <w:r w:rsidRPr="001222B9">
        <w:rPr>
          <w:rFonts w:eastAsia="Times New Roman" w:cstheme="minorHAnsi"/>
          <w:b/>
          <w:bCs/>
          <w:kern w:val="0"/>
          <w:lang w:eastAsia="fr-MA"/>
          <w14:ligatures w14:val="none"/>
        </w:rPr>
        <w:t>modèles de Machine Learning</w:t>
      </w: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 (dont le </w:t>
      </w:r>
      <w:r w:rsidRPr="001222B9">
        <w:rPr>
          <w:rFonts w:eastAsia="Times New Roman" w:cstheme="minorHAnsi"/>
          <w:b/>
          <w:bCs/>
          <w:kern w:val="0"/>
          <w:lang w:eastAsia="fr-MA"/>
          <w14:ligatures w14:val="none"/>
        </w:rPr>
        <w:t>Bootstrap Forest</w:t>
      </w: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) n’ont pas réussi à généraliser aux données de validation, confirmant la </w:t>
      </w:r>
      <w:r w:rsidRPr="001222B9">
        <w:rPr>
          <w:rFonts w:eastAsia="Times New Roman" w:cstheme="minorHAnsi"/>
          <w:b/>
          <w:bCs/>
          <w:kern w:val="0"/>
          <w:lang w:eastAsia="fr-MA"/>
          <w14:ligatures w14:val="none"/>
        </w:rPr>
        <w:t>faible valeur prédictive</w:t>
      </w: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 des variables cliniques testées.</w:t>
      </w:r>
    </w:p>
    <w:p w14:paraId="4F4D5C81" w14:textId="77777777" w:rsidR="00F71D27" w:rsidRPr="00F71D27" w:rsidRDefault="001222B9" w:rsidP="00F71D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MA"/>
          <w14:ligatures w14:val="none"/>
        </w:rPr>
      </w:pPr>
      <w:r w:rsidRPr="001222B9">
        <w:rPr>
          <w:rFonts w:eastAsia="Times New Roman" w:cstheme="minorHAnsi"/>
          <w:kern w:val="0"/>
          <w:lang w:eastAsia="fr-MA"/>
          <w14:ligatures w14:val="none"/>
        </w:rPr>
        <w:t>Ainsi, même des facteurs cliniquement plausibles comme l’âge, le sexe, les comorbidités ou la sévérité initiale du TDAH n’ont pas permis d’anticiper la réponse médicamenteuse.</w:t>
      </w:r>
    </w:p>
    <w:p w14:paraId="3F3F3A9A" w14:textId="58DA71D2" w:rsidR="001222B9" w:rsidRPr="001222B9" w:rsidRDefault="001222B9" w:rsidP="00F71D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18"/>
          <w:szCs w:val="18"/>
          <w:lang w:eastAsia="fr-MA"/>
          <w14:ligatures w14:val="none"/>
        </w:rPr>
      </w:pPr>
      <w:r w:rsidRPr="001222B9">
        <w:rPr>
          <w:rFonts w:eastAsia="Times New Roman" w:cstheme="minorHAnsi"/>
          <w:b/>
          <w:bCs/>
          <w:kern w:val="0"/>
          <w:sz w:val="24"/>
          <w:szCs w:val="24"/>
          <w:lang w:eastAsia="fr-MA"/>
          <w14:ligatures w14:val="none"/>
        </w:rPr>
        <w:t xml:space="preserve">b) </w:t>
      </w:r>
      <w:r w:rsidRPr="001222B9">
        <w:rPr>
          <w:rFonts w:eastAsia="Times New Roman" w:cstheme="minorHAnsi"/>
          <w:b/>
          <w:bCs/>
          <w:kern w:val="0"/>
          <w:lang w:eastAsia="fr-MA"/>
          <w14:ligatures w14:val="none"/>
        </w:rPr>
        <w:t>Comparaison avec la littérature</w:t>
      </w:r>
    </w:p>
    <w:p w14:paraId="77B7FBCF" w14:textId="77777777" w:rsidR="001222B9" w:rsidRPr="001222B9" w:rsidRDefault="001222B9" w:rsidP="001222B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MA"/>
          <w14:ligatures w14:val="none"/>
        </w:rPr>
      </w:pP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Ces résultats rejoignent les conclusions de revues antérieures, qui indiquent que les </w:t>
      </w:r>
      <w:r w:rsidRPr="001222B9">
        <w:rPr>
          <w:rFonts w:eastAsia="Times New Roman" w:cstheme="minorHAnsi"/>
          <w:b/>
          <w:bCs/>
          <w:kern w:val="0"/>
          <w:lang w:eastAsia="fr-MA"/>
          <w14:ligatures w14:val="none"/>
        </w:rPr>
        <w:t>caractéristiques cliniques seules</w:t>
      </w: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 ne suffisent pas à expliquer l’hétérogénéité de la réponse thérapeutique (1–3).</w:t>
      </w:r>
    </w:p>
    <w:p w14:paraId="68443A8B" w14:textId="77777777" w:rsidR="001222B9" w:rsidRPr="001222B9" w:rsidRDefault="001222B9" w:rsidP="001222B9">
      <w:pPr>
        <w:numPr>
          <w:ilvl w:val="0"/>
          <w:numId w:val="10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MA"/>
          <w14:ligatures w14:val="none"/>
        </w:rPr>
      </w:pP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Les études de pharmacogénétique ont mis en évidence des associations avec certains variants (DAT1, DRD4, ADRA2A), mais leur </w:t>
      </w:r>
      <w:r w:rsidRPr="001222B9">
        <w:rPr>
          <w:rFonts w:eastAsia="Times New Roman" w:cstheme="minorHAnsi"/>
          <w:b/>
          <w:bCs/>
          <w:kern w:val="0"/>
          <w:lang w:eastAsia="fr-MA"/>
          <w14:ligatures w14:val="none"/>
        </w:rPr>
        <w:t>reproductibilité est limitée</w:t>
      </w: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 et leur utilité clinique reste incertaine (4–6).</w:t>
      </w:r>
    </w:p>
    <w:p w14:paraId="307E291B" w14:textId="77777777" w:rsidR="001222B9" w:rsidRPr="00F71D27" w:rsidRDefault="001222B9" w:rsidP="001222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MA"/>
          <w14:ligatures w14:val="none"/>
        </w:rPr>
      </w:pP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Les travaux de neuroimagerie et d’EEG montrent des résultats prometteurs (ex. normalisation </w:t>
      </w:r>
      <w:proofErr w:type="spellStart"/>
      <w:r w:rsidRPr="001222B9">
        <w:rPr>
          <w:rFonts w:eastAsia="Times New Roman" w:cstheme="minorHAnsi"/>
          <w:kern w:val="0"/>
          <w:lang w:eastAsia="fr-MA"/>
          <w14:ligatures w14:val="none"/>
        </w:rPr>
        <w:t>fronto-striatale</w:t>
      </w:r>
      <w:proofErr w:type="spellEnd"/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 sous traitement), mais ceux-ci ne sont pas encore transposables à la pratique courante (7–9).</w:t>
      </w:r>
    </w:p>
    <w:p w14:paraId="7C7B87A6" w14:textId="194A9D64" w:rsidR="001222B9" w:rsidRPr="001222B9" w:rsidRDefault="001222B9" w:rsidP="00F71D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MA"/>
          <w14:ligatures w14:val="none"/>
        </w:rPr>
      </w:pPr>
      <w:r w:rsidRPr="001222B9">
        <w:rPr>
          <w:rFonts w:eastAsia="Times New Roman" w:cstheme="minorHAnsi"/>
          <w:b/>
          <w:bCs/>
          <w:kern w:val="0"/>
          <w:sz w:val="24"/>
          <w:szCs w:val="24"/>
          <w:lang w:eastAsia="fr-MA"/>
          <w14:ligatures w14:val="none"/>
        </w:rPr>
        <w:t xml:space="preserve">c) </w:t>
      </w:r>
      <w:r w:rsidRPr="001222B9">
        <w:rPr>
          <w:rFonts w:eastAsia="Times New Roman" w:cstheme="minorHAnsi"/>
          <w:b/>
          <w:bCs/>
          <w:kern w:val="0"/>
          <w:lang w:eastAsia="fr-MA"/>
          <w14:ligatures w14:val="none"/>
        </w:rPr>
        <w:t>Implications cliniques</w:t>
      </w:r>
    </w:p>
    <w:p w14:paraId="2A0FD422" w14:textId="77777777" w:rsidR="001222B9" w:rsidRPr="001222B9" w:rsidRDefault="001222B9" w:rsidP="001222B9">
      <w:pPr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MA"/>
          <w14:ligatures w14:val="none"/>
        </w:rPr>
      </w:pP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À ce jour, la </w:t>
      </w:r>
      <w:r w:rsidRPr="001222B9">
        <w:rPr>
          <w:rFonts w:eastAsia="Times New Roman" w:cstheme="minorHAnsi"/>
          <w:b/>
          <w:bCs/>
          <w:kern w:val="0"/>
          <w:lang w:eastAsia="fr-MA"/>
          <w14:ligatures w14:val="none"/>
        </w:rPr>
        <w:t>réponse au traitement du TDAH ne peut pas être prédite</w:t>
      </w: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 par des variables cliniques simples.</w:t>
      </w:r>
    </w:p>
    <w:p w14:paraId="3C49D453" w14:textId="77777777" w:rsidR="001222B9" w:rsidRPr="001222B9" w:rsidRDefault="001222B9" w:rsidP="001222B9">
      <w:pPr>
        <w:numPr>
          <w:ilvl w:val="0"/>
          <w:numId w:val="11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MA"/>
          <w14:ligatures w14:val="none"/>
        </w:rPr>
      </w:pP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La stratégie thérapeutique doit donc rester </w:t>
      </w:r>
      <w:r w:rsidRPr="001222B9">
        <w:rPr>
          <w:rFonts w:eastAsia="Times New Roman" w:cstheme="minorHAnsi"/>
          <w:b/>
          <w:bCs/>
          <w:kern w:val="0"/>
          <w:lang w:eastAsia="fr-MA"/>
          <w14:ligatures w14:val="none"/>
        </w:rPr>
        <w:t>empirique et individualisée</w:t>
      </w:r>
      <w:r w:rsidRPr="001222B9">
        <w:rPr>
          <w:rFonts w:eastAsia="Times New Roman" w:cstheme="minorHAnsi"/>
          <w:kern w:val="0"/>
          <w:lang w:eastAsia="fr-MA"/>
          <w14:ligatures w14:val="none"/>
        </w:rPr>
        <w:t>, en procédant à des essais de traitement supervisés.</w:t>
      </w:r>
    </w:p>
    <w:p w14:paraId="3320B817" w14:textId="77777777" w:rsidR="001222B9" w:rsidRPr="00F71D27" w:rsidRDefault="001222B9" w:rsidP="001222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MA"/>
          <w14:ligatures w14:val="none"/>
        </w:rPr>
      </w:pP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La personnalisation de la prise en charge nécessitera l’intégration de </w:t>
      </w:r>
      <w:r w:rsidRPr="001222B9">
        <w:rPr>
          <w:rFonts w:eastAsia="Times New Roman" w:cstheme="minorHAnsi"/>
          <w:b/>
          <w:bCs/>
          <w:kern w:val="0"/>
          <w:lang w:eastAsia="fr-MA"/>
          <w14:ligatures w14:val="none"/>
        </w:rPr>
        <w:t>facteurs biologiques</w:t>
      </w: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 (génétiques, neurobiologiques) combinés aux données cliniques.</w:t>
      </w:r>
    </w:p>
    <w:p w14:paraId="35E50FC5" w14:textId="2A6300C1" w:rsidR="001222B9" w:rsidRPr="001222B9" w:rsidRDefault="001222B9" w:rsidP="00F71D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MA"/>
          <w14:ligatures w14:val="none"/>
        </w:rPr>
      </w:pPr>
      <w:r w:rsidRPr="001222B9">
        <w:rPr>
          <w:rFonts w:eastAsia="Times New Roman" w:cstheme="minorHAnsi"/>
          <w:b/>
          <w:bCs/>
          <w:kern w:val="0"/>
          <w:sz w:val="24"/>
          <w:szCs w:val="24"/>
          <w:lang w:eastAsia="fr-MA"/>
          <w14:ligatures w14:val="none"/>
        </w:rPr>
        <w:t xml:space="preserve">d) </w:t>
      </w:r>
      <w:r w:rsidRPr="001222B9">
        <w:rPr>
          <w:rFonts w:eastAsia="Times New Roman" w:cstheme="minorHAnsi"/>
          <w:b/>
          <w:bCs/>
          <w:kern w:val="0"/>
          <w:lang w:eastAsia="fr-MA"/>
          <w14:ligatures w14:val="none"/>
        </w:rPr>
        <w:t>Forces et limites de l’étude</w:t>
      </w:r>
    </w:p>
    <w:p w14:paraId="2F9AB6FC" w14:textId="77777777" w:rsidR="001222B9" w:rsidRPr="001222B9" w:rsidRDefault="001222B9" w:rsidP="001222B9">
      <w:pPr>
        <w:numPr>
          <w:ilvl w:val="0"/>
          <w:numId w:val="12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MA"/>
          <w14:ligatures w14:val="none"/>
        </w:rPr>
      </w:pPr>
      <w:r w:rsidRPr="001222B9">
        <w:rPr>
          <w:rFonts w:eastAsia="Times New Roman" w:cstheme="minorHAnsi"/>
          <w:b/>
          <w:bCs/>
          <w:kern w:val="0"/>
          <w:lang w:eastAsia="fr-MA"/>
          <w14:ligatures w14:val="none"/>
        </w:rPr>
        <w:t>Forces</w:t>
      </w: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 : taille importante de l’échantillon, design prospectif, représentativité de la pratique clinique réelle.</w:t>
      </w:r>
    </w:p>
    <w:p w14:paraId="1D76F61D" w14:textId="77777777" w:rsidR="00F71D27" w:rsidRPr="00F71D27" w:rsidRDefault="001222B9" w:rsidP="00F71D27">
      <w:pPr>
        <w:numPr>
          <w:ilvl w:val="0"/>
          <w:numId w:val="12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MA"/>
          <w14:ligatures w14:val="none"/>
        </w:rPr>
      </w:pPr>
      <w:r w:rsidRPr="001222B9">
        <w:rPr>
          <w:rFonts w:eastAsia="Times New Roman" w:cstheme="minorHAnsi"/>
          <w:b/>
          <w:bCs/>
          <w:kern w:val="0"/>
          <w:lang w:eastAsia="fr-MA"/>
          <w14:ligatures w14:val="none"/>
        </w:rPr>
        <w:t>Limites</w:t>
      </w:r>
      <w:r w:rsidRPr="001222B9">
        <w:rPr>
          <w:rFonts w:eastAsia="Times New Roman" w:cstheme="minorHAnsi"/>
          <w:kern w:val="0"/>
          <w:lang w:eastAsia="fr-MA"/>
          <w14:ligatures w14:val="none"/>
        </w:rPr>
        <w:t xml:space="preserve"> : perte au suivi importante (216 participants), hétérogénéité des mesures, absence de données biologiques (génétiques/neuroimagerie) qui auraient pu améliorer la prédiction.</w:t>
      </w:r>
    </w:p>
    <w:p w14:paraId="7C651260" w14:textId="02DEC729" w:rsidR="00F71D27" w:rsidRPr="00F71D27" w:rsidRDefault="00F71D27" w:rsidP="00F71D27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2F5496" w:themeColor="accent1" w:themeShade="BF"/>
          <w:kern w:val="0"/>
          <w:u w:val="single"/>
          <w:lang w:eastAsia="fr-MA"/>
          <w14:ligatures w14:val="none"/>
        </w:rPr>
      </w:pPr>
      <w:r w:rsidRPr="00F71D27">
        <w:rPr>
          <w:rFonts w:eastAsia="Times New Roman" w:cstheme="minorHAnsi"/>
          <w:b/>
          <w:bCs/>
          <w:color w:val="2F5496" w:themeColor="accent1" w:themeShade="BF"/>
          <w:kern w:val="36"/>
          <w:sz w:val="28"/>
          <w:szCs w:val="28"/>
          <w:u w:val="single"/>
          <w:lang w:eastAsia="fr-MA"/>
          <w14:ligatures w14:val="none"/>
        </w:rPr>
        <w:lastRenderedPageBreak/>
        <w:t>Conclusion :</w:t>
      </w:r>
    </w:p>
    <w:p w14:paraId="5EC89FCE" w14:textId="2473A8AA" w:rsidR="00F71D27" w:rsidRDefault="00F71D27" w:rsidP="00F71D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MA"/>
          <w14:ligatures w14:val="none"/>
        </w:rPr>
      </w:pPr>
      <w:r w:rsidRPr="00F71D27">
        <w:rPr>
          <w:rFonts w:eastAsia="Times New Roman" w:cstheme="minorHAnsi"/>
          <w:kern w:val="0"/>
          <w:lang w:eastAsia="fr-MA"/>
          <w14:ligatures w14:val="none"/>
        </w:rPr>
        <w:t xml:space="preserve">Cette étude prospective en vie réelle sur </w:t>
      </w:r>
      <w:r w:rsidRPr="00F71D27">
        <w:rPr>
          <w:rFonts w:eastAsia="Times New Roman" w:cstheme="minorHAnsi"/>
          <w:b/>
          <w:bCs/>
          <w:kern w:val="0"/>
          <w:lang w:eastAsia="fr-MA"/>
          <w14:ligatures w14:val="none"/>
        </w:rPr>
        <w:t>638 enfants et adolescents</w:t>
      </w:r>
      <w:r w:rsidRPr="00F71D27">
        <w:rPr>
          <w:rFonts w:eastAsia="Times New Roman" w:cstheme="minorHAnsi"/>
          <w:kern w:val="0"/>
          <w:lang w:eastAsia="fr-MA"/>
          <w14:ligatures w14:val="none"/>
        </w:rPr>
        <w:t xml:space="preserve"> montre que les </w:t>
      </w:r>
      <w:r w:rsidRPr="00F71D27">
        <w:rPr>
          <w:rFonts w:eastAsia="Times New Roman" w:cstheme="minorHAnsi"/>
          <w:b/>
          <w:bCs/>
          <w:kern w:val="0"/>
          <w:lang w:eastAsia="fr-MA"/>
          <w14:ligatures w14:val="none"/>
        </w:rPr>
        <w:t>facteurs cliniques et sociodémographiques classiques</w:t>
      </w:r>
      <w:r w:rsidRPr="00F71D27">
        <w:rPr>
          <w:rFonts w:eastAsia="Times New Roman" w:cstheme="minorHAnsi"/>
          <w:kern w:val="0"/>
          <w:lang w:eastAsia="fr-MA"/>
          <w14:ligatures w14:val="none"/>
        </w:rPr>
        <w:t xml:space="preserve"> ne permettent pas de prédire de manière fiable la réponse aux traitements du </w:t>
      </w:r>
      <w:proofErr w:type="spellStart"/>
      <w:r w:rsidRPr="00F71D27">
        <w:rPr>
          <w:rFonts w:eastAsia="Times New Roman" w:cstheme="minorHAnsi"/>
          <w:kern w:val="0"/>
          <w:lang w:eastAsia="fr-MA"/>
          <w14:ligatures w14:val="none"/>
        </w:rPr>
        <w:t>TDAH.Les</w:t>
      </w:r>
      <w:proofErr w:type="spellEnd"/>
      <w:r w:rsidRPr="00F71D27">
        <w:rPr>
          <w:rFonts w:eastAsia="Times New Roman" w:cstheme="minorHAnsi"/>
          <w:kern w:val="0"/>
          <w:lang w:eastAsia="fr-MA"/>
          <w14:ligatures w14:val="none"/>
        </w:rPr>
        <w:t xml:space="preserve"> scores SNAP initiaux, l’âge, le sexe, la région ou les comorbidités n’apportent qu’une </w:t>
      </w:r>
      <w:r w:rsidRPr="00F71D27">
        <w:rPr>
          <w:rFonts w:eastAsia="Times New Roman" w:cstheme="minorHAnsi"/>
          <w:b/>
          <w:bCs/>
          <w:kern w:val="0"/>
          <w:lang w:eastAsia="fr-MA"/>
          <w14:ligatures w14:val="none"/>
        </w:rPr>
        <w:t xml:space="preserve">valeur prédictive </w:t>
      </w:r>
      <w:proofErr w:type="spellStart"/>
      <w:proofErr w:type="gramStart"/>
      <w:r w:rsidRPr="00F71D27">
        <w:rPr>
          <w:rFonts w:eastAsia="Times New Roman" w:cstheme="minorHAnsi"/>
          <w:b/>
          <w:bCs/>
          <w:kern w:val="0"/>
          <w:lang w:eastAsia="fr-MA"/>
          <w14:ligatures w14:val="none"/>
        </w:rPr>
        <w:t>marginale</w:t>
      </w:r>
      <w:r w:rsidRPr="00F71D27">
        <w:rPr>
          <w:rFonts w:eastAsia="Times New Roman" w:cstheme="minorHAnsi"/>
          <w:kern w:val="0"/>
          <w:lang w:eastAsia="fr-MA"/>
          <w14:ligatures w14:val="none"/>
        </w:rPr>
        <w:t>.Les</w:t>
      </w:r>
      <w:proofErr w:type="spellEnd"/>
      <w:proofErr w:type="gramEnd"/>
      <w:r w:rsidRPr="00F71D27">
        <w:rPr>
          <w:rFonts w:eastAsia="Times New Roman" w:cstheme="minorHAnsi"/>
          <w:kern w:val="0"/>
          <w:lang w:eastAsia="fr-MA"/>
          <w14:ligatures w14:val="none"/>
        </w:rPr>
        <w:t xml:space="preserve"> modèles de Machine Learning n’ont pas confirmé de prédicteurs robustes.</w:t>
      </w:r>
    </w:p>
    <w:p w14:paraId="193268C6" w14:textId="494DEA97" w:rsidR="00F71D27" w:rsidRDefault="00F71D27" w:rsidP="00F71D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MA"/>
          <w14:ligatures w14:val="none"/>
        </w:rPr>
      </w:pPr>
      <w:r w:rsidRPr="00F71D27">
        <w:rPr>
          <w:rFonts w:eastAsia="Times New Roman" w:cstheme="minorHAnsi"/>
          <w:kern w:val="0"/>
          <w:lang w:eastAsia="fr-MA"/>
          <w14:ligatures w14:val="none"/>
        </w:rPr>
        <w:t xml:space="preserve">Ces résultats renforcent l’idée que de futures recherches devront intégrer une approche </w:t>
      </w:r>
      <w:r w:rsidRPr="00F71D27">
        <w:rPr>
          <w:rFonts w:eastAsia="Times New Roman" w:cstheme="minorHAnsi"/>
          <w:b/>
          <w:bCs/>
          <w:kern w:val="0"/>
          <w:lang w:eastAsia="fr-MA"/>
          <w14:ligatures w14:val="none"/>
        </w:rPr>
        <w:t>multimodale</w:t>
      </w:r>
      <w:r w:rsidRPr="00F71D27">
        <w:rPr>
          <w:rFonts w:eastAsia="Times New Roman" w:cstheme="minorHAnsi"/>
          <w:kern w:val="0"/>
          <w:lang w:eastAsia="fr-MA"/>
          <w14:ligatures w14:val="none"/>
        </w:rPr>
        <w:t xml:space="preserve"> (clinique, génétique, neuroimagerie, cognition) pour progresser vers une </w:t>
      </w:r>
      <w:r w:rsidRPr="00F71D27">
        <w:rPr>
          <w:rFonts w:eastAsia="Times New Roman" w:cstheme="minorHAnsi"/>
          <w:b/>
          <w:bCs/>
          <w:kern w:val="0"/>
          <w:lang w:eastAsia="fr-MA"/>
          <w14:ligatures w14:val="none"/>
        </w:rPr>
        <w:t>médecine personnalisée</w:t>
      </w:r>
      <w:r w:rsidRPr="00F71D27">
        <w:rPr>
          <w:rFonts w:eastAsia="Times New Roman" w:cstheme="minorHAnsi"/>
          <w:kern w:val="0"/>
          <w:lang w:eastAsia="fr-MA"/>
          <w14:ligatures w14:val="none"/>
        </w:rPr>
        <w:t xml:space="preserve"> dans le TDAH (10–12).</w:t>
      </w:r>
    </w:p>
    <w:p w14:paraId="4D2D719B" w14:textId="636C1D79" w:rsidR="00E07D41" w:rsidRDefault="00E07D41" w:rsidP="00F71D27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MA"/>
          <w14:ligatures w14:val="none"/>
        </w:rPr>
      </w:pPr>
    </w:p>
    <w:p w14:paraId="45B3A6D0" w14:textId="793DB4C3" w:rsidR="00E07D41" w:rsidRDefault="00E07D41" w:rsidP="00E07D41">
      <w:pPr>
        <w:spacing w:before="100" w:beforeAutospacing="1" w:after="100" w:afterAutospacing="1" w:line="240" w:lineRule="auto"/>
        <w:jc w:val="right"/>
        <w:rPr>
          <w:rFonts w:eastAsia="Times New Roman" w:cstheme="minorHAnsi"/>
          <w:kern w:val="0"/>
          <w:lang w:eastAsia="fr-MA"/>
          <w14:ligatures w14:val="none"/>
        </w:rPr>
      </w:pPr>
      <w:bookmarkStart w:id="0" w:name="_GoBack"/>
      <w:r>
        <w:rPr>
          <w:rFonts w:eastAsia="Times New Roman" w:cstheme="minorHAnsi"/>
          <w:kern w:val="0"/>
          <w:lang w:eastAsia="fr-MA"/>
          <w14:ligatures w14:val="none"/>
        </w:rPr>
        <w:t xml:space="preserve">Dr Yassine </w:t>
      </w:r>
      <w:proofErr w:type="spellStart"/>
      <w:r>
        <w:rPr>
          <w:rFonts w:eastAsia="Times New Roman" w:cstheme="minorHAnsi"/>
          <w:kern w:val="0"/>
          <w:lang w:eastAsia="fr-MA"/>
          <w14:ligatures w14:val="none"/>
        </w:rPr>
        <w:t>Nassiri</w:t>
      </w:r>
      <w:proofErr w:type="spellEnd"/>
    </w:p>
    <w:p w14:paraId="7C92675B" w14:textId="75A14C50" w:rsidR="00E07D41" w:rsidRDefault="00E07D41" w:rsidP="00E07D41">
      <w:pPr>
        <w:spacing w:before="100" w:beforeAutospacing="1" w:after="100" w:afterAutospacing="1" w:line="240" w:lineRule="auto"/>
        <w:jc w:val="right"/>
        <w:rPr>
          <w:rFonts w:eastAsia="Times New Roman" w:cstheme="minorHAnsi"/>
          <w:kern w:val="0"/>
          <w:lang w:eastAsia="fr-MA"/>
          <w14:ligatures w14:val="none"/>
        </w:rPr>
      </w:pPr>
      <w:r>
        <w:rPr>
          <w:rFonts w:eastAsia="Times New Roman" w:cstheme="minorHAnsi"/>
          <w:kern w:val="0"/>
          <w:lang w:eastAsia="fr-MA"/>
          <w14:ligatures w14:val="none"/>
        </w:rPr>
        <w:t xml:space="preserve">CHU </w:t>
      </w:r>
      <w:proofErr w:type="spellStart"/>
      <w:r>
        <w:rPr>
          <w:rFonts w:eastAsia="Times New Roman" w:cstheme="minorHAnsi"/>
          <w:kern w:val="0"/>
          <w:lang w:eastAsia="fr-MA"/>
          <w14:ligatures w14:val="none"/>
        </w:rPr>
        <w:t>Souss</w:t>
      </w:r>
      <w:proofErr w:type="spellEnd"/>
      <w:r>
        <w:rPr>
          <w:rFonts w:eastAsia="Times New Roman" w:cstheme="minorHAnsi"/>
          <w:kern w:val="0"/>
          <w:lang w:eastAsia="fr-MA"/>
          <w14:ligatures w14:val="none"/>
        </w:rPr>
        <w:t xml:space="preserve"> Massa</w:t>
      </w:r>
    </w:p>
    <w:p w14:paraId="47F98F60" w14:textId="72F073C4" w:rsidR="00E07D41" w:rsidRPr="00F71D27" w:rsidRDefault="00E07D41" w:rsidP="00E07D41">
      <w:pPr>
        <w:spacing w:before="100" w:beforeAutospacing="1" w:after="100" w:afterAutospacing="1" w:line="240" w:lineRule="auto"/>
        <w:jc w:val="right"/>
        <w:rPr>
          <w:rFonts w:eastAsia="Times New Roman" w:cstheme="minorHAnsi"/>
          <w:kern w:val="0"/>
          <w:lang w:eastAsia="fr-MA"/>
          <w14:ligatures w14:val="none"/>
        </w:rPr>
      </w:pPr>
      <w:r>
        <w:rPr>
          <w:rFonts w:eastAsia="Times New Roman" w:cstheme="minorHAnsi"/>
          <w:kern w:val="0"/>
          <w:lang w:eastAsia="fr-MA"/>
          <w14:ligatures w14:val="none"/>
        </w:rPr>
        <w:t>Septembre 2025</w:t>
      </w:r>
    </w:p>
    <w:bookmarkEnd w:id="0"/>
    <w:p w14:paraId="45FE0AB8" w14:textId="1FF5E781" w:rsidR="001222B9" w:rsidRPr="001222B9" w:rsidRDefault="001222B9" w:rsidP="001222B9">
      <w:pPr>
        <w:rPr>
          <w:b/>
          <w:bCs/>
        </w:rPr>
      </w:pPr>
    </w:p>
    <w:p w14:paraId="4FEC9918" w14:textId="77777777" w:rsidR="001222B9" w:rsidRDefault="001222B9" w:rsidP="001222B9"/>
    <w:sectPr w:rsidR="00122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E9E"/>
    <w:multiLevelType w:val="hybridMultilevel"/>
    <w:tmpl w:val="C690400C"/>
    <w:lvl w:ilvl="0" w:tplc="380C000F">
      <w:start w:val="1"/>
      <w:numFmt w:val="decimal"/>
      <w:lvlText w:val="%1."/>
      <w:lvlJc w:val="left"/>
      <w:pPr>
        <w:ind w:left="579" w:hanging="360"/>
      </w:pPr>
    </w:lvl>
    <w:lvl w:ilvl="1" w:tplc="380C0019" w:tentative="1">
      <w:start w:val="1"/>
      <w:numFmt w:val="lowerLetter"/>
      <w:lvlText w:val="%2."/>
      <w:lvlJc w:val="left"/>
      <w:pPr>
        <w:ind w:left="1299" w:hanging="360"/>
      </w:pPr>
    </w:lvl>
    <w:lvl w:ilvl="2" w:tplc="380C001B" w:tentative="1">
      <w:start w:val="1"/>
      <w:numFmt w:val="lowerRoman"/>
      <w:lvlText w:val="%3."/>
      <w:lvlJc w:val="right"/>
      <w:pPr>
        <w:ind w:left="2019" w:hanging="180"/>
      </w:pPr>
    </w:lvl>
    <w:lvl w:ilvl="3" w:tplc="380C000F" w:tentative="1">
      <w:start w:val="1"/>
      <w:numFmt w:val="decimal"/>
      <w:lvlText w:val="%4."/>
      <w:lvlJc w:val="left"/>
      <w:pPr>
        <w:ind w:left="2739" w:hanging="360"/>
      </w:pPr>
    </w:lvl>
    <w:lvl w:ilvl="4" w:tplc="380C0019" w:tentative="1">
      <w:start w:val="1"/>
      <w:numFmt w:val="lowerLetter"/>
      <w:lvlText w:val="%5."/>
      <w:lvlJc w:val="left"/>
      <w:pPr>
        <w:ind w:left="3459" w:hanging="360"/>
      </w:pPr>
    </w:lvl>
    <w:lvl w:ilvl="5" w:tplc="380C001B" w:tentative="1">
      <w:start w:val="1"/>
      <w:numFmt w:val="lowerRoman"/>
      <w:lvlText w:val="%6."/>
      <w:lvlJc w:val="right"/>
      <w:pPr>
        <w:ind w:left="4179" w:hanging="180"/>
      </w:pPr>
    </w:lvl>
    <w:lvl w:ilvl="6" w:tplc="380C000F" w:tentative="1">
      <w:start w:val="1"/>
      <w:numFmt w:val="decimal"/>
      <w:lvlText w:val="%7."/>
      <w:lvlJc w:val="left"/>
      <w:pPr>
        <w:ind w:left="4899" w:hanging="360"/>
      </w:pPr>
    </w:lvl>
    <w:lvl w:ilvl="7" w:tplc="380C0019" w:tentative="1">
      <w:start w:val="1"/>
      <w:numFmt w:val="lowerLetter"/>
      <w:lvlText w:val="%8."/>
      <w:lvlJc w:val="left"/>
      <w:pPr>
        <w:ind w:left="5619" w:hanging="360"/>
      </w:pPr>
    </w:lvl>
    <w:lvl w:ilvl="8" w:tplc="380C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4957B8C"/>
    <w:multiLevelType w:val="multilevel"/>
    <w:tmpl w:val="C3F6517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74F79"/>
    <w:multiLevelType w:val="multilevel"/>
    <w:tmpl w:val="EAC0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F4373"/>
    <w:multiLevelType w:val="multilevel"/>
    <w:tmpl w:val="ADE4A07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23639"/>
    <w:multiLevelType w:val="multilevel"/>
    <w:tmpl w:val="EAC0617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B03EAC"/>
    <w:multiLevelType w:val="multilevel"/>
    <w:tmpl w:val="EAC0617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2F04F2"/>
    <w:multiLevelType w:val="multilevel"/>
    <w:tmpl w:val="EAC0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0C42"/>
    <w:multiLevelType w:val="multilevel"/>
    <w:tmpl w:val="915020F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C2FC1"/>
    <w:multiLevelType w:val="multilevel"/>
    <w:tmpl w:val="EAC0617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56BD6"/>
    <w:multiLevelType w:val="hybridMultilevel"/>
    <w:tmpl w:val="59E402A2"/>
    <w:lvl w:ilvl="0" w:tplc="3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10E7A"/>
    <w:multiLevelType w:val="multilevel"/>
    <w:tmpl w:val="22BAC40A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5F4B96"/>
    <w:multiLevelType w:val="multilevel"/>
    <w:tmpl w:val="EAC0617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CE7651"/>
    <w:multiLevelType w:val="hybridMultilevel"/>
    <w:tmpl w:val="F3127C3C"/>
    <w:lvl w:ilvl="0" w:tplc="82E2ACC4">
      <w:start w:val="1"/>
      <w:numFmt w:val="decimal"/>
      <w:lvlText w:val="%1."/>
      <w:lvlJc w:val="left"/>
      <w:pPr>
        <w:ind w:left="1080" w:hanging="360"/>
      </w:pPr>
      <w:rPr>
        <w:b/>
        <w:bCs/>
        <w:sz w:val="22"/>
        <w:szCs w:val="22"/>
      </w:rPr>
    </w:lvl>
    <w:lvl w:ilvl="1" w:tplc="380C0019" w:tentative="1">
      <w:start w:val="1"/>
      <w:numFmt w:val="lowerLetter"/>
      <w:lvlText w:val="%2."/>
      <w:lvlJc w:val="left"/>
      <w:pPr>
        <w:ind w:left="1800" w:hanging="360"/>
      </w:pPr>
    </w:lvl>
    <w:lvl w:ilvl="2" w:tplc="380C001B" w:tentative="1">
      <w:start w:val="1"/>
      <w:numFmt w:val="lowerRoman"/>
      <w:lvlText w:val="%3."/>
      <w:lvlJc w:val="right"/>
      <w:pPr>
        <w:ind w:left="2520" w:hanging="180"/>
      </w:pPr>
    </w:lvl>
    <w:lvl w:ilvl="3" w:tplc="380C000F" w:tentative="1">
      <w:start w:val="1"/>
      <w:numFmt w:val="decimal"/>
      <w:lvlText w:val="%4."/>
      <w:lvlJc w:val="left"/>
      <w:pPr>
        <w:ind w:left="3240" w:hanging="360"/>
      </w:pPr>
    </w:lvl>
    <w:lvl w:ilvl="4" w:tplc="380C0019" w:tentative="1">
      <w:start w:val="1"/>
      <w:numFmt w:val="lowerLetter"/>
      <w:lvlText w:val="%5."/>
      <w:lvlJc w:val="left"/>
      <w:pPr>
        <w:ind w:left="3960" w:hanging="360"/>
      </w:pPr>
    </w:lvl>
    <w:lvl w:ilvl="5" w:tplc="380C001B" w:tentative="1">
      <w:start w:val="1"/>
      <w:numFmt w:val="lowerRoman"/>
      <w:lvlText w:val="%6."/>
      <w:lvlJc w:val="right"/>
      <w:pPr>
        <w:ind w:left="4680" w:hanging="180"/>
      </w:pPr>
    </w:lvl>
    <w:lvl w:ilvl="6" w:tplc="380C000F" w:tentative="1">
      <w:start w:val="1"/>
      <w:numFmt w:val="decimal"/>
      <w:lvlText w:val="%7."/>
      <w:lvlJc w:val="left"/>
      <w:pPr>
        <w:ind w:left="5400" w:hanging="360"/>
      </w:pPr>
    </w:lvl>
    <w:lvl w:ilvl="7" w:tplc="380C0019" w:tentative="1">
      <w:start w:val="1"/>
      <w:numFmt w:val="lowerLetter"/>
      <w:lvlText w:val="%8."/>
      <w:lvlJc w:val="left"/>
      <w:pPr>
        <w:ind w:left="6120" w:hanging="360"/>
      </w:pPr>
    </w:lvl>
    <w:lvl w:ilvl="8" w:tplc="3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2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99"/>
    <w:rsid w:val="001222B9"/>
    <w:rsid w:val="0047660B"/>
    <w:rsid w:val="00593699"/>
    <w:rsid w:val="0063610E"/>
    <w:rsid w:val="00994954"/>
    <w:rsid w:val="00B63D45"/>
    <w:rsid w:val="00B70CBF"/>
    <w:rsid w:val="00E07D41"/>
    <w:rsid w:val="00E34462"/>
    <w:rsid w:val="00F64C24"/>
    <w:rsid w:val="00F71D27"/>
    <w:rsid w:val="00F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7929"/>
  <w15:chartTrackingRefBased/>
  <w15:docId w15:val="{434C5F9A-C538-4606-BEF2-EE6E8FD9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3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3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36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3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36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3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3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3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3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3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3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36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369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369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36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36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36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36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3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3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3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3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3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36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3699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9369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3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369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369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MA"/>
      <w14:ligatures w14:val="none"/>
    </w:rPr>
  </w:style>
  <w:style w:type="character" w:styleId="lev">
    <w:name w:val="Strong"/>
    <w:basedOn w:val="Policepardfaut"/>
    <w:uiPriority w:val="22"/>
    <w:qFormat/>
    <w:rsid w:val="00F71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SOADE.LBADAOUI</dc:creator>
  <cp:keywords/>
  <dc:description/>
  <cp:lastModifiedBy>pc</cp:lastModifiedBy>
  <cp:revision>3</cp:revision>
  <dcterms:created xsi:type="dcterms:W3CDTF">2025-09-28T17:42:00Z</dcterms:created>
  <dcterms:modified xsi:type="dcterms:W3CDTF">2025-10-02T08:31:00Z</dcterms:modified>
</cp:coreProperties>
</file>