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60" w:rsidRPr="00353FEC" w:rsidRDefault="00530560" w:rsidP="00530560">
      <w:pPr>
        <w:spacing w:line="276" w:lineRule="auto"/>
        <w:rPr>
          <w:rStyle w:val="fontstyle01"/>
          <w:rFonts w:asciiTheme="minorHAnsi" w:hAnsiTheme="minorHAnsi" w:cstheme="minorHAnsi"/>
          <w:b/>
          <w:bCs/>
          <w:color w:val="auto"/>
          <w:sz w:val="20"/>
          <w:szCs w:val="20"/>
        </w:rPr>
      </w:pPr>
      <w:bookmarkStart w:id="0" w:name="_GoBack"/>
      <w:bookmarkEnd w:id="0"/>
    </w:p>
    <w:p w:rsidR="000C5FA9" w:rsidRDefault="0047118C" w:rsidP="00530560">
      <w:pPr>
        <w:spacing w:line="276" w:lineRule="auto"/>
        <w:jc w:val="both"/>
        <w:rPr>
          <w:rStyle w:val="fontstyle01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 xml:space="preserve">Association entre le trouble obsessionnel compulsif </w:t>
      </w:r>
      <w:r w:rsidR="00D2285F" w:rsidRPr="00353FEC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et le risque de schizophrénie à partir de la cohorte de l'échantillon national du Service national d'assurance maladie coréen :</w:t>
      </w:r>
      <w:r w:rsidR="00DB3535" w:rsidRPr="00353FEC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2285F" w:rsidRPr="00353FEC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étude de cohorte rétrospective</w:t>
      </w:r>
    </w:p>
    <w:p w:rsidR="00FD3BF6" w:rsidRDefault="00FD3BF6" w:rsidP="00530560">
      <w:pPr>
        <w:spacing w:line="276" w:lineRule="auto"/>
        <w:jc w:val="both"/>
        <w:rPr>
          <w:rStyle w:val="fontstyle01"/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96A0B38" wp14:editId="5D2B33B1">
            <wp:extent cx="5760720" cy="1149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BF6" w:rsidRPr="00353FEC" w:rsidRDefault="00FD3BF6" w:rsidP="00530560">
      <w:pPr>
        <w:spacing w:line="276" w:lineRule="auto"/>
        <w:jc w:val="both"/>
        <w:rPr>
          <w:rStyle w:val="fontstyle01"/>
          <w:rFonts w:asciiTheme="minorHAnsi" w:hAnsiTheme="minorHAnsi" w:cstheme="minorHAnsi"/>
          <w:b/>
          <w:bCs/>
          <w:sz w:val="24"/>
          <w:szCs w:val="24"/>
        </w:rPr>
      </w:pPr>
    </w:p>
    <w:p w:rsidR="00353FEC" w:rsidRPr="00EE1B12" w:rsidRDefault="00353FEC" w:rsidP="00EE1B12">
      <w:pPr>
        <w:spacing w:line="240" w:lineRule="auto"/>
        <w:jc w:val="both"/>
        <w:rPr>
          <w:rFonts w:cstheme="minorHAnsi"/>
          <w:b/>
          <w:bCs/>
          <w:color w:val="377A2E"/>
          <w:sz w:val="4"/>
          <w:szCs w:val="4"/>
          <w:u w:val="single"/>
        </w:rPr>
      </w:pPr>
    </w:p>
    <w:p w:rsidR="0047118C" w:rsidRDefault="00D2285F" w:rsidP="001B436A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b/>
          <w:bCs/>
          <w:color w:val="377A2E"/>
          <w:sz w:val="28"/>
          <w:szCs w:val="28"/>
          <w:u w:val="single"/>
        </w:rPr>
        <w:t>Introduction</w:t>
      </w:r>
      <w:r w:rsidRPr="0047118C">
        <w:rPr>
          <w:rFonts w:cstheme="minorHAnsi"/>
          <w:color w:val="377A2E"/>
          <w:sz w:val="28"/>
          <w:szCs w:val="28"/>
        </w:rPr>
        <w:br/>
      </w:r>
      <w:r w:rsidRPr="0047118C">
        <w:rPr>
          <w:rFonts w:cstheme="minorHAnsi"/>
          <w:color w:val="000000"/>
          <w:sz w:val="28"/>
          <w:szCs w:val="28"/>
        </w:rPr>
        <w:t>La schizophrénie et les troubles obsessionnels compulsifs (</w:t>
      </w:r>
      <w:r w:rsidRPr="0047118C">
        <w:rPr>
          <w:rFonts w:cstheme="minorHAnsi"/>
          <w:b/>
          <w:bCs/>
          <w:color w:val="000000"/>
          <w:sz w:val="28"/>
          <w:szCs w:val="28"/>
        </w:rPr>
        <w:t>TOC</w:t>
      </w:r>
      <w:r w:rsidRPr="0047118C">
        <w:rPr>
          <w:rFonts w:cstheme="minorHAnsi"/>
          <w:color w:val="000000"/>
          <w:sz w:val="28"/>
          <w:szCs w:val="28"/>
        </w:rPr>
        <w:t>) sont deux troubles mentaux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chroniques distincts qui détériorent la qualité de vie des patients et de leurs familles. </w:t>
      </w:r>
      <w:r w:rsidR="00E55233" w:rsidRPr="0047118C">
        <w:rPr>
          <w:rFonts w:cstheme="minorHAnsi"/>
          <w:color w:val="000000"/>
          <w:sz w:val="28"/>
          <w:szCs w:val="28"/>
        </w:rPr>
        <w:t>C</w:t>
      </w:r>
      <w:r w:rsidRPr="0047118C">
        <w:rPr>
          <w:rFonts w:cstheme="minorHAnsi"/>
          <w:color w:val="000000"/>
          <w:sz w:val="28"/>
          <w:szCs w:val="28"/>
        </w:rPr>
        <w:t>es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deux pathologies partagent certaines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="00E55233" w:rsidRPr="0047118C">
        <w:rPr>
          <w:rFonts w:cstheme="minorHAnsi"/>
          <w:color w:val="000000"/>
          <w:sz w:val="28"/>
          <w:szCs w:val="28"/>
        </w:rPr>
        <w:t>similitudes</w:t>
      </w:r>
      <w:r w:rsidRPr="0047118C">
        <w:rPr>
          <w:rFonts w:cstheme="minorHAnsi"/>
          <w:color w:val="000000"/>
          <w:sz w:val="28"/>
          <w:szCs w:val="28"/>
        </w:rPr>
        <w:t xml:space="preserve"> cliniques</w:t>
      </w:r>
      <w:r w:rsidR="00E55233" w:rsidRPr="0047118C">
        <w:rPr>
          <w:rFonts w:cstheme="minorHAnsi"/>
          <w:color w:val="000000"/>
          <w:sz w:val="28"/>
          <w:szCs w:val="28"/>
        </w:rPr>
        <w:t xml:space="preserve"> et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présentent une comorbidité importante</w:t>
      </w:r>
      <w:r w:rsidR="00553DD1" w:rsidRPr="0047118C">
        <w:rPr>
          <w:rFonts w:cstheme="minorHAnsi"/>
          <w:color w:val="000000"/>
          <w:sz w:val="28"/>
          <w:szCs w:val="28"/>
        </w:rPr>
        <w:t xml:space="preserve"> (10%)</w:t>
      </w:r>
      <w:r w:rsidRPr="0047118C">
        <w:rPr>
          <w:rFonts w:cstheme="minorHAnsi"/>
          <w:color w:val="000000"/>
          <w:sz w:val="28"/>
          <w:szCs w:val="28"/>
        </w:rPr>
        <w:t>, qui peut conduire à un diagnostic initial erroné de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TOC chez les patients schizophrènes. Cette similitude a conduit de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nombreux chercheurs à se concentrer sur leur association.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</w:p>
    <w:p w:rsidR="0047118C" w:rsidRDefault="00D2285F" w:rsidP="001B436A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color w:val="000000"/>
          <w:sz w:val="28"/>
          <w:szCs w:val="28"/>
        </w:rPr>
        <w:t>Les symptômes obsessionnels compulsifs (</w:t>
      </w:r>
      <w:r w:rsidR="000A1BA2" w:rsidRPr="0047118C">
        <w:rPr>
          <w:rFonts w:cstheme="minorHAnsi"/>
          <w:color w:val="000000"/>
          <w:sz w:val="28"/>
          <w:szCs w:val="28"/>
        </w:rPr>
        <w:t>S</w:t>
      </w:r>
      <w:r w:rsidR="000A1BA2" w:rsidRPr="0047118C">
        <w:rPr>
          <w:rFonts w:cstheme="minorHAnsi"/>
          <w:b/>
          <w:bCs/>
          <w:color w:val="000000"/>
          <w:sz w:val="28"/>
          <w:szCs w:val="28"/>
        </w:rPr>
        <w:t>OC</w:t>
      </w:r>
      <w:r w:rsidRPr="0047118C">
        <w:rPr>
          <w:rFonts w:cstheme="minorHAnsi"/>
          <w:color w:val="000000"/>
          <w:sz w:val="28"/>
          <w:szCs w:val="28"/>
        </w:rPr>
        <w:t>) peuvent survenir après l'administration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d'antipsychotiques atypiques tels que la clozapine, ce qui suggère que les TOC comorbides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chez les patients schizophrènes pourraient être le résultat des effets secondaires de ce médicament. Cependant, les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="000A1BA2" w:rsidRPr="0047118C">
        <w:rPr>
          <w:rFonts w:cstheme="minorHAnsi"/>
          <w:color w:val="000000"/>
          <w:sz w:val="28"/>
          <w:szCs w:val="28"/>
        </w:rPr>
        <w:t>SOC</w:t>
      </w:r>
      <w:r w:rsidRPr="0047118C">
        <w:rPr>
          <w:rFonts w:cstheme="minorHAnsi"/>
          <w:color w:val="000000"/>
          <w:sz w:val="28"/>
          <w:szCs w:val="28"/>
        </w:rPr>
        <w:t xml:space="preserve"> ou les TOC peuvent survenir à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n'importe quel moment de la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schizophrénie. En outre, des TOC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comorbides ont été largement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observés chez des adolescents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atteints de schizophrénie, ce qui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suggère que les TOC ne sont pas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uniquement le résultat des effets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secondaires du médicament. D'autre part, les caractéristiques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prodro</w:t>
      </w:r>
      <w:r w:rsidR="001B436A" w:rsidRPr="0047118C">
        <w:rPr>
          <w:rFonts w:cstheme="minorHAnsi"/>
          <w:color w:val="000000"/>
          <w:sz w:val="28"/>
          <w:szCs w:val="28"/>
        </w:rPr>
        <w:t>miques des patients schizophrènes</w:t>
      </w:r>
      <w:r w:rsidRPr="0047118C">
        <w:rPr>
          <w:rFonts w:cstheme="minorHAnsi"/>
          <w:color w:val="000000"/>
          <w:sz w:val="28"/>
          <w:szCs w:val="28"/>
        </w:rPr>
        <w:t xml:space="preserve"> incluent le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phénomène obsessionnel-compulsif, et ils peuvent </w:t>
      </w:r>
      <w:r w:rsidR="001B436A" w:rsidRPr="0047118C">
        <w:rPr>
          <w:rFonts w:cstheme="minorHAnsi"/>
          <w:color w:val="000000"/>
          <w:sz w:val="28"/>
          <w:szCs w:val="28"/>
        </w:rPr>
        <w:t>recevoir à tort un diagnostic de TOC</w:t>
      </w:r>
      <w:r w:rsidRPr="0047118C">
        <w:rPr>
          <w:rFonts w:cstheme="minorHAnsi"/>
          <w:color w:val="000000"/>
          <w:sz w:val="28"/>
          <w:szCs w:val="28"/>
        </w:rPr>
        <w:t xml:space="preserve">. </w:t>
      </w:r>
    </w:p>
    <w:p w:rsidR="00CF02CF" w:rsidRPr="0047118C" w:rsidRDefault="00863DA1" w:rsidP="001B436A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color w:val="000000"/>
          <w:sz w:val="28"/>
          <w:szCs w:val="28"/>
        </w:rPr>
        <w:lastRenderedPageBreak/>
        <w:t>Peu</w:t>
      </w:r>
      <w:r w:rsidR="00D2285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d’</w:t>
      </w:r>
      <w:r w:rsidR="00D2285F" w:rsidRPr="0047118C">
        <w:rPr>
          <w:rFonts w:cstheme="minorHAnsi"/>
          <w:color w:val="000000"/>
          <w:sz w:val="28"/>
          <w:szCs w:val="28"/>
        </w:rPr>
        <w:t>études ont examiné le risque de schizophrénie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="00D2285F" w:rsidRPr="0047118C">
        <w:rPr>
          <w:rFonts w:cstheme="minorHAnsi"/>
          <w:color w:val="000000"/>
          <w:sz w:val="28"/>
          <w:szCs w:val="28"/>
        </w:rPr>
        <w:t>chez les patients diagnostiq</w:t>
      </w:r>
      <w:r w:rsidRPr="0047118C">
        <w:rPr>
          <w:rFonts w:cstheme="minorHAnsi"/>
          <w:color w:val="000000"/>
          <w:sz w:val="28"/>
          <w:szCs w:val="28"/>
        </w:rPr>
        <w:t>ués avec un TOC</w:t>
      </w:r>
      <w:r w:rsidR="00553DD1" w:rsidRPr="0047118C">
        <w:rPr>
          <w:rFonts w:cstheme="minorHAnsi"/>
          <w:color w:val="000000"/>
          <w:sz w:val="28"/>
          <w:szCs w:val="28"/>
        </w:rPr>
        <w:t xml:space="preserve"> et ont conclu que</w:t>
      </w:r>
      <w:r w:rsidR="00D2285F" w:rsidRPr="0047118C">
        <w:rPr>
          <w:rFonts w:cstheme="minorHAnsi"/>
          <w:color w:val="000000"/>
          <w:sz w:val="28"/>
          <w:szCs w:val="28"/>
        </w:rPr>
        <w:t xml:space="preserve"> les patients atteints de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="00553DD1" w:rsidRPr="0047118C">
        <w:rPr>
          <w:rFonts w:cstheme="minorHAnsi"/>
          <w:color w:val="000000"/>
          <w:sz w:val="28"/>
          <w:szCs w:val="28"/>
        </w:rPr>
        <w:t xml:space="preserve">TOC présentaient </w:t>
      </w:r>
      <w:r w:rsidR="00553DD1" w:rsidRPr="0047118C">
        <w:rPr>
          <w:rFonts w:cstheme="minorHAnsi"/>
          <w:b/>
          <w:bCs/>
          <w:color w:val="000000"/>
          <w:sz w:val="28"/>
          <w:szCs w:val="28"/>
        </w:rPr>
        <w:t>u</w:t>
      </w:r>
      <w:r w:rsidR="00D2285F" w:rsidRPr="0047118C">
        <w:rPr>
          <w:rFonts w:cstheme="minorHAnsi"/>
          <w:b/>
          <w:bCs/>
          <w:color w:val="000000"/>
          <w:sz w:val="28"/>
          <w:szCs w:val="28"/>
        </w:rPr>
        <w:t xml:space="preserve">n risque </w:t>
      </w:r>
      <w:r w:rsidR="00553DD1" w:rsidRPr="0047118C">
        <w:rPr>
          <w:rFonts w:cstheme="minorHAnsi"/>
          <w:b/>
          <w:bCs/>
          <w:color w:val="000000"/>
          <w:sz w:val="28"/>
          <w:szCs w:val="28"/>
        </w:rPr>
        <w:t xml:space="preserve">3 à </w:t>
      </w:r>
      <w:r w:rsidR="00D2285F" w:rsidRPr="0047118C">
        <w:rPr>
          <w:rFonts w:cstheme="minorHAnsi"/>
          <w:b/>
          <w:bCs/>
          <w:color w:val="000000"/>
          <w:sz w:val="28"/>
          <w:szCs w:val="28"/>
        </w:rPr>
        <w:t>12 fois plus élevé de diagnostic</w:t>
      </w:r>
      <w:r w:rsidR="00CF02CF" w:rsidRPr="0047118C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D2285F" w:rsidRPr="0047118C">
        <w:rPr>
          <w:rFonts w:cstheme="minorHAnsi"/>
          <w:b/>
          <w:bCs/>
          <w:color w:val="000000"/>
          <w:sz w:val="28"/>
          <w:szCs w:val="28"/>
        </w:rPr>
        <w:t>comorbide de schizophrénie</w:t>
      </w:r>
      <w:r w:rsidR="00D2285F" w:rsidRPr="0047118C">
        <w:rPr>
          <w:rFonts w:cstheme="minorHAnsi"/>
          <w:color w:val="000000"/>
          <w:sz w:val="28"/>
          <w:szCs w:val="28"/>
        </w:rPr>
        <w:t>.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="00D2285F" w:rsidRPr="0047118C">
        <w:rPr>
          <w:rFonts w:cstheme="minorHAnsi"/>
          <w:color w:val="000000"/>
          <w:sz w:val="28"/>
          <w:szCs w:val="28"/>
        </w:rPr>
        <w:t>Cette étude visait à étudier l'association entre les antécédents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="00D2285F" w:rsidRPr="0047118C">
        <w:rPr>
          <w:rFonts w:cstheme="minorHAnsi"/>
          <w:color w:val="000000"/>
          <w:sz w:val="28"/>
          <w:szCs w:val="28"/>
        </w:rPr>
        <w:t>de TOC et le risque de schizophrénie dans une cohorte coréenne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="00D2285F" w:rsidRPr="0047118C">
        <w:rPr>
          <w:rFonts w:cstheme="minorHAnsi"/>
          <w:color w:val="000000"/>
          <w:sz w:val="28"/>
          <w:szCs w:val="28"/>
        </w:rPr>
        <w:t>représentative au niveau natio</w:t>
      </w:r>
      <w:r w:rsidR="00553DD1" w:rsidRPr="0047118C">
        <w:rPr>
          <w:rFonts w:cstheme="minorHAnsi"/>
          <w:color w:val="000000"/>
          <w:sz w:val="28"/>
          <w:szCs w:val="28"/>
        </w:rPr>
        <w:t>nal</w:t>
      </w:r>
      <w:r w:rsidR="00D2285F" w:rsidRPr="0047118C">
        <w:rPr>
          <w:rFonts w:cstheme="minorHAnsi"/>
          <w:color w:val="000000"/>
          <w:sz w:val="28"/>
          <w:szCs w:val="28"/>
        </w:rPr>
        <w:t>.</w:t>
      </w:r>
    </w:p>
    <w:p w:rsidR="00DB3535" w:rsidRPr="0047118C" w:rsidRDefault="00D2285F" w:rsidP="00450BE3">
      <w:pPr>
        <w:spacing w:line="360" w:lineRule="auto"/>
        <w:jc w:val="both"/>
        <w:rPr>
          <w:rFonts w:cstheme="minorHAnsi"/>
          <w:b/>
          <w:bCs/>
          <w:i/>
          <w:iCs/>
          <w:color w:val="377A2E"/>
          <w:sz w:val="28"/>
          <w:szCs w:val="28"/>
        </w:rPr>
      </w:pPr>
      <w:r w:rsidRPr="0047118C">
        <w:rPr>
          <w:rFonts w:cstheme="minorHAnsi"/>
          <w:b/>
          <w:bCs/>
          <w:color w:val="377A2E"/>
          <w:sz w:val="28"/>
          <w:szCs w:val="28"/>
          <w:u w:val="single"/>
        </w:rPr>
        <w:t>Méthode</w:t>
      </w:r>
      <w:r w:rsidR="0047118C">
        <w:rPr>
          <w:rFonts w:cstheme="minorHAnsi"/>
          <w:b/>
          <w:bCs/>
          <w:color w:val="377A2E"/>
          <w:sz w:val="28"/>
          <w:szCs w:val="28"/>
          <w:u w:val="single"/>
        </w:rPr>
        <w:t>s</w:t>
      </w:r>
      <w:r w:rsidRPr="0047118C">
        <w:rPr>
          <w:rFonts w:cstheme="minorHAnsi"/>
          <w:b/>
          <w:bCs/>
          <w:color w:val="377A2E"/>
          <w:sz w:val="28"/>
          <w:szCs w:val="28"/>
          <w:u w:val="single"/>
        </w:rPr>
        <w:br/>
      </w:r>
      <w:r w:rsidRPr="0047118C">
        <w:rPr>
          <w:rFonts w:cstheme="minorHAnsi"/>
          <w:b/>
          <w:bCs/>
          <w:i/>
          <w:iCs/>
          <w:color w:val="0070C0"/>
          <w:sz w:val="28"/>
          <w:szCs w:val="28"/>
        </w:rPr>
        <w:t>Population et données de l'étude</w:t>
      </w:r>
    </w:p>
    <w:p w:rsidR="00CF02CF" w:rsidRPr="0047118C" w:rsidRDefault="00D2285F" w:rsidP="001B6E30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color w:val="000000"/>
          <w:sz w:val="28"/>
          <w:szCs w:val="28"/>
        </w:rPr>
        <w:t>Les données analysées proviennent du Service national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d'assurance maladie coréen - entre 2002 et 2013. La base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de données fournit des informations sur le statut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socio-économique et les codes CIM-10.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Les patients ayant demandé un traitement pour un TOC (F42) ou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une schizophrénie, un trouble schizotypique ou délirant (F2X) en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2002 ont été exclus, car cette étude visait à examiner les patients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souffrant d'un TOC ou d'une schizophrénie nouvellement apparus. </w:t>
      </w:r>
      <w:r w:rsidR="00C26C6D" w:rsidRPr="0047118C">
        <w:rPr>
          <w:rFonts w:cstheme="minorHAnsi"/>
          <w:color w:val="000000"/>
          <w:sz w:val="28"/>
          <w:szCs w:val="28"/>
        </w:rPr>
        <w:t xml:space="preserve">Les auteurs ont </w:t>
      </w:r>
      <w:r w:rsidR="00C26C6D" w:rsidRPr="0047118C">
        <w:rPr>
          <w:rFonts w:cstheme="minorHAnsi"/>
          <w:b/>
          <w:bCs/>
          <w:color w:val="000000"/>
          <w:sz w:val="28"/>
          <w:szCs w:val="28"/>
        </w:rPr>
        <w:t>exclu</w:t>
      </w:r>
      <w:r w:rsidRPr="0047118C">
        <w:rPr>
          <w:rFonts w:cstheme="minorHAnsi"/>
          <w:b/>
          <w:bCs/>
          <w:color w:val="000000"/>
          <w:sz w:val="28"/>
          <w:szCs w:val="28"/>
        </w:rPr>
        <w:t xml:space="preserve"> les</w:t>
      </w:r>
      <w:r w:rsidR="00CF02CF" w:rsidRPr="0047118C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47118C">
        <w:rPr>
          <w:rFonts w:cstheme="minorHAnsi"/>
          <w:b/>
          <w:bCs/>
          <w:color w:val="000000"/>
          <w:sz w:val="28"/>
          <w:szCs w:val="28"/>
        </w:rPr>
        <w:t>patients</w:t>
      </w:r>
      <w:r w:rsidRPr="0047118C">
        <w:rPr>
          <w:rFonts w:cstheme="minorHAnsi"/>
          <w:color w:val="000000"/>
          <w:sz w:val="28"/>
          <w:szCs w:val="28"/>
        </w:rPr>
        <w:t xml:space="preserve"> pour lesquels la différence entre les dates de diagnostic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des TOC et de la schizophrénie </w:t>
      </w:r>
      <w:r w:rsidRPr="0047118C">
        <w:rPr>
          <w:rFonts w:cstheme="minorHAnsi"/>
          <w:b/>
          <w:bCs/>
          <w:color w:val="000000"/>
          <w:sz w:val="28"/>
          <w:szCs w:val="28"/>
        </w:rPr>
        <w:t>était inférieure à un an</w:t>
      </w:r>
      <w:r w:rsidRPr="0047118C">
        <w:rPr>
          <w:rFonts w:cstheme="minorHAnsi"/>
          <w:color w:val="000000"/>
          <w:sz w:val="28"/>
          <w:szCs w:val="28"/>
        </w:rPr>
        <w:t>, afin de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réduire la possibilité d'une causalité inverse et d'un diagnostic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initial erroné des deux maladies. Après ces exclusions, </w:t>
      </w:r>
      <w:r w:rsidRPr="0047118C">
        <w:rPr>
          <w:rFonts w:cstheme="minorHAnsi"/>
          <w:b/>
          <w:bCs/>
          <w:color w:val="000000"/>
          <w:sz w:val="28"/>
          <w:szCs w:val="28"/>
        </w:rPr>
        <w:t>2509 patients ont été</w:t>
      </w:r>
      <w:r w:rsidR="00CF02CF" w:rsidRPr="0047118C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47118C">
        <w:rPr>
          <w:rFonts w:cstheme="minorHAnsi"/>
          <w:b/>
          <w:bCs/>
          <w:color w:val="000000"/>
          <w:sz w:val="28"/>
          <w:szCs w:val="28"/>
        </w:rPr>
        <w:t>inclus</w:t>
      </w:r>
      <w:r w:rsidRPr="0047118C">
        <w:rPr>
          <w:rFonts w:cstheme="minorHAnsi"/>
          <w:color w:val="000000"/>
          <w:sz w:val="28"/>
          <w:szCs w:val="28"/>
        </w:rPr>
        <w:t xml:space="preserve">. </w:t>
      </w:r>
    </w:p>
    <w:p w:rsidR="00DB3535" w:rsidRPr="0047118C" w:rsidRDefault="00D2285F" w:rsidP="00450BE3">
      <w:pPr>
        <w:spacing w:line="360" w:lineRule="auto"/>
        <w:jc w:val="both"/>
        <w:rPr>
          <w:rFonts w:cstheme="minorHAnsi"/>
          <w:b/>
          <w:bCs/>
          <w:i/>
          <w:iCs/>
          <w:color w:val="0070C0"/>
          <w:sz w:val="28"/>
          <w:szCs w:val="28"/>
        </w:rPr>
      </w:pPr>
      <w:r w:rsidRPr="0047118C">
        <w:rPr>
          <w:rFonts w:cstheme="minorHAnsi"/>
          <w:b/>
          <w:bCs/>
          <w:i/>
          <w:iCs/>
          <w:color w:val="0070C0"/>
          <w:sz w:val="28"/>
          <w:szCs w:val="28"/>
        </w:rPr>
        <w:t>Variables de l'étude et covariables</w:t>
      </w:r>
    </w:p>
    <w:p w:rsidR="00CF02CF" w:rsidRPr="0047118C" w:rsidRDefault="00D2285F" w:rsidP="004B4D9A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color w:val="000000"/>
          <w:sz w:val="28"/>
          <w:szCs w:val="28"/>
        </w:rPr>
        <w:t>Les patients ont été considérés comme souffrant d'un trouble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obsessionnel-compulsif sur la base du code diagnostique F42 de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la CIM-10 lors de la première visite. Les patients ayant le code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F20 de la CIM-10 ont été considérés comme </w:t>
      </w:r>
      <w:r w:rsidR="008B5198" w:rsidRPr="0047118C">
        <w:rPr>
          <w:rFonts w:cstheme="minorHAnsi"/>
          <w:color w:val="000000"/>
          <w:sz w:val="28"/>
          <w:szCs w:val="28"/>
        </w:rPr>
        <w:t>souffrants</w:t>
      </w:r>
      <w:r w:rsidRPr="0047118C">
        <w:rPr>
          <w:rFonts w:cstheme="minorHAnsi"/>
          <w:color w:val="000000"/>
          <w:sz w:val="28"/>
          <w:szCs w:val="28"/>
        </w:rPr>
        <w:t xml:space="preserve"> de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schizophrénie. Les informations démographiques de base, y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compris l'âge, le sexe, le statut d'assurance maladie, la région de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résidence, le handicap, le niveau de revenu et la comorbidité, y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compris </w:t>
      </w:r>
      <w:r w:rsidRPr="0047118C">
        <w:rPr>
          <w:rFonts w:cstheme="minorHAnsi"/>
          <w:b/>
          <w:bCs/>
          <w:color w:val="000000"/>
          <w:sz w:val="28"/>
          <w:szCs w:val="28"/>
        </w:rPr>
        <w:t>l'indice de comorbidité de Charlson (CCI)</w:t>
      </w:r>
      <w:r w:rsidRPr="0047118C">
        <w:rPr>
          <w:rFonts w:cstheme="minorHAnsi"/>
          <w:color w:val="000000"/>
          <w:sz w:val="28"/>
          <w:szCs w:val="28"/>
        </w:rPr>
        <w:t>, ont été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incluses dans le modèle de régression en tant que covariables. Les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participants ont été répartis en trois groupes en fonction de leur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score CCI : 0-2, 3-4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et </w:t>
      </w:r>
      <w:r w:rsidRPr="0047118C">
        <w:rPr>
          <w:rFonts w:ascii="Cambria Math" w:hAnsi="Cambria Math" w:cs="Cambria Math"/>
          <w:color w:val="000000"/>
          <w:sz w:val="28"/>
          <w:szCs w:val="28"/>
        </w:rPr>
        <w:t>⩾</w:t>
      </w:r>
      <w:r w:rsidRPr="0047118C">
        <w:rPr>
          <w:rFonts w:cstheme="minorHAnsi"/>
          <w:color w:val="000000"/>
          <w:sz w:val="28"/>
          <w:szCs w:val="28"/>
        </w:rPr>
        <w:t>5. L'âge a été classé en sept catégories (0-9, 10-19, 20-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29, 30-39, 40-49, 50-59 et </w:t>
      </w:r>
      <w:r w:rsidRPr="0047118C">
        <w:rPr>
          <w:rFonts w:ascii="Cambria Math" w:hAnsi="Cambria Math" w:cs="Cambria Math"/>
          <w:color w:val="000000"/>
          <w:sz w:val="28"/>
          <w:szCs w:val="28"/>
        </w:rPr>
        <w:t>⩾</w:t>
      </w:r>
      <w:r w:rsidRPr="0047118C">
        <w:rPr>
          <w:rFonts w:cstheme="minorHAnsi"/>
          <w:color w:val="000000"/>
          <w:sz w:val="28"/>
          <w:szCs w:val="28"/>
        </w:rPr>
        <w:t>60). La région résidentielle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comprend trois catégories de densité de population :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="004B4D9A" w:rsidRPr="0047118C">
        <w:rPr>
          <w:rFonts w:cstheme="minorHAnsi"/>
          <w:color w:val="000000"/>
          <w:sz w:val="28"/>
          <w:szCs w:val="28"/>
        </w:rPr>
        <w:t>métropolitaine</w:t>
      </w:r>
      <w:r w:rsidRPr="0047118C">
        <w:rPr>
          <w:rFonts w:cstheme="minorHAnsi"/>
          <w:color w:val="000000"/>
          <w:sz w:val="28"/>
          <w:szCs w:val="28"/>
        </w:rPr>
        <w:t>, en ville et en milieu rural. Les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revenus ont été divisés en trois groupes. Les handicaps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physiques et mentaux ont été pris en compte.</w:t>
      </w:r>
      <w:r w:rsidR="00CF02CF" w:rsidRPr="0047118C">
        <w:rPr>
          <w:rFonts w:cstheme="minorHAnsi"/>
          <w:color w:val="000000"/>
          <w:sz w:val="28"/>
          <w:szCs w:val="28"/>
        </w:rPr>
        <w:t xml:space="preserve"> </w:t>
      </w:r>
    </w:p>
    <w:p w:rsidR="00336127" w:rsidRPr="0047118C" w:rsidRDefault="00D2285F" w:rsidP="00317CBA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b/>
          <w:bCs/>
          <w:color w:val="377A2E"/>
          <w:sz w:val="28"/>
          <w:szCs w:val="28"/>
          <w:u w:val="single"/>
        </w:rPr>
        <w:t>Résultats</w:t>
      </w:r>
      <w:r w:rsidRPr="0047118C">
        <w:rPr>
          <w:rFonts w:cstheme="minorHAnsi"/>
          <w:b/>
          <w:bCs/>
          <w:color w:val="377A2E"/>
          <w:sz w:val="28"/>
          <w:szCs w:val="28"/>
          <w:u w:val="single"/>
        </w:rPr>
        <w:br/>
      </w:r>
      <w:r w:rsidRPr="0047118C">
        <w:rPr>
          <w:rFonts w:cstheme="minorHAnsi"/>
          <w:color w:val="000000"/>
          <w:sz w:val="28"/>
          <w:szCs w:val="28"/>
        </w:rPr>
        <w:t>Au total, 10 036 patients ont été inclus</w:t>
      </w:r>
      <w:r w:rsidR="006E6E97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dans l'analyse, et 0,8 % d'entre eux ont reçu un diagnostic de</w:t>
      </w:r>
      <w:r w:rsidR="006E6E97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schizophrénie. La durée moyenne du suivi était de 5,31 ans pour</w:t>
      </w:r>
      <w:r w:rsidR="006E6E97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les patients souffrant de TOC et de 5,39 ans pour les patients</w:t>
      </w:r>
      <w:r w:rsidR="006E6E97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souffrant de schizophrénie.</w:t>
      </w:r>
      <w:r w:rsidR="006E6E97" w:rsidRPr="0047118C">
        <w:rPr>
          <w:rFonts w:cstheme="minorHAnsi"/>
          <w:color w:val="000000"/>
          <w:sz w:val="28"/>
          <w:szCs w:val="28"/>
        </w:rPr>
        <w:t xml:space="preserve"> </w:t>
      </w:r>
      <w:r w:rsidR="00317CBA" w:rsidRPr="0047118C">
        <w:rPr>
          <w:rFonts w:cstheme="minorHAnsi"/>
          <w:b/>
          <w:bCs/>
          <w:color w:val="000000"/>
          <w:sz w:val="28"/>
          <w:szCs w:val="28"/>
        </w:rPr>
        <w:t>L</w:t>
      </w:r>
      <w:r w:rsidRPr="0047118C">
        <w:rPr>
          <w:rFonts w:cstheme="minorHAnsi"/>
          <w:b/>
          <w:bCs/>
          <w:color w:val="000000"/>
          <w:sz w:val="28"/>
          <w:szCs w:val="28"/>
        </w:rPr>
        <w:t>e test du chi-carré a</w:t>
      </w:r>
      <w:r w:rsidR="006E6E97" w:rsidRPr="0047118C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47118C">
        <w:rPr>
          <w:rFonts w:cstheme="minorHAnsi"/>
          <w:b/>
          <w:bCs/>
          <w:color w:val="000000"/>
          <w:sz w:val="28"/>
          <w:szCs w:val="28"/>
        </w:rPr>
        <w:t>montré une différence significative dans la prévalence de la</w:t>
      </w:r>
      <w:r w:rsidR="006E6E97" w:rsidRPr="0047118C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47118C">
        <w:rPr>
          <w:rFonts w:cstheme="minorHAnsi"/>
          <w:b/>
          <w:bCs/>
          <w:color w:val="000000"/>
          <w:sz w:val="28"/>
          <w:szCs w:val="28"/>
        </w:rPr>
        <w:t>schizophrénie entre les groupes divisés par le diagnostic de TOC</w:t>
      </w:r>
      <w:r w:rsidRPr="0047118C">
        <w:rPr>
          <w:rFonts w:cstheme="minorHAnsi"/>
          <w:color w:val="000000"/>
          <w:sz w:val="28"/>
          <w:szCs w:val="28"/>
        </w:rPr>
        <w:t>.</w:t>
      </w:r>
      <w:r w:rsidR="006E6E97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L'âge, la sécurité sociale, la région, le statut de handicapé et les</w:t>
      </w:r>
      <w:r w:rsidR="006E6E97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antécédents de trouble envahissant du développement et de</w:t>
      </w:r>
      <w:r w:rsidR="006E6E97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déficience intellectuelle avaient des effets significatifs sur le risque</w:t>
      </w:r>
      <w:r w:rsidR="006E6E97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de schizophrénie en analyse univariée. Le sexe, le revenu et l'ICC</w:t>
      </w:r>
      <w:r w:rsidR="006E6E97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n'ont pas été associés à la schizophrénie au cours de la période</w:t>
      </w:r>
      <w:r w:rsidR="006E6E97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étudiée. Le taux d'incidence était de 45,79/10 000</w:t>
      </w:r>
      <w:r w:rsidR="006E6E97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personnes-années pour les patients souffrant de TOC et de</w:t>
      </w:r>
      <w:r w:rsidR="006E6E97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4,19/10 000 personnes-années pour les patients ne souffrant pas</w:t>
      </w:r>
      <w:r w:rsidR="006E6E97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de TOC. </w:t>
      </w:r>
      <w:r w:rsidRPr="0047118C">
        <w:rPr>
          <w:rFonts w:cstheme="minorHAnsi"/>
          <w:b/>
          <w:bCs/>
          <w:color w:val="000000"/>
          <w:sz w:val="28"/>
          <w:szCs w:val="28"/>
        </w:rPr>
        <w:t>Les personnes souffrant de TOC présentaient un risque</w:t>
      </w:r>
      <w:r w:rsidR="006E6E97" w:rsidRPr="0047118C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317CBA" w:rsidRPr="0047118C">
        <w:rPr>
          <w:rFonts w:cstheme="minorHAnsi"/>
          <w:b/>
          <w:bCs/>
          <w:color w:val="000000"/>
          <w:sz w:val="28"/>
          <w:szCs w:val="28"/>
        </w:rPr>
        <w:t xml:space="preserve">plus élevé de schizophrénie </w:t>
      </w:r>
      <w:r w:rsidRPr="0047118C">
        <w:rPr>
          <w:rFonts w:cstheme="minorHAnsi"/>
          <w:b/>
          <w:bCs/>
          <w:color w:val="000000"/>
          <w:sz w:val="28"/>
          <w:szCs w:val="28"/>
        </w:rPr>
        <w:t>après ajustement des covariables (HR = 10,46, CI = 6,07-18,00)</w:t>
      </w:r>
      <w:r w:rsidRPr="0047118C">
        <w:rPr>
          <w:rFonts w:cstheme="minorHAnsi"/>
          <w:color w:val="000000"/>
          <w:sz w:val="28"/>
          <w:szCs w:val="28"/>
        </w:rPr>
        <w:t>.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Des analyses indépendantes de sous-groupes ont été réalisées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pour évaluer l'efficacité</w:t>
      </w:r>
      <w:r w:rsidR="00317CBA" w:rsidRPr="0047118C">
        <w:rPr>
          <w:rFonts w:cstheme="minorHAnsi"/>
          <w:color w:val="000000"/>
          <w:sz w:val="28"/>
          <w:szCs w:val="28"/>
        </w:rPr>
        <w:t xml:space="preserve"> d</w:t>
      </w:r>
      <w:r w:rsidRPr="0047118C">
        <w:rPr>
          <w:rFonts w:cstheme="minorHAnsi"/>
          <w:color w:val="000000"/>
          <w:sz w:val="28"/>
          <w:szCs w:val="28"/>
        </w:rPr>
        <w:t>es effets combinés des antécédents de TOC et d'autres variables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sociodémographiques sur le risque de schizophrénie. Lorsqu'ils sont stratifiés par âge, les patients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âgés d'une vingtaine d'années présentent un risque de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schizophrénie beaucoup plus élevé que les patients plus âgés. Enfin,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les patients ayant des scores CCI plus faibles présentaient un risque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significativement plus élevé de schizophrénie que les patients plus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âgés.</w:t>
      </w:r>
    </w:p>
    <w:p w:rsidR="00336127" w:rsidRPr="0047118C" w:rsidRDefault="00D2285F" w:rsidP="00E46928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b/>
          <w:bCs/>
          <w:color w:val="377A2E"/>
          <w:sz w:val="28"/>
          <w:szCs w:val="28"/>
          <w:u w:val="single"/>
        </w:rPr>
        <w:t>Discussion</w:t>
      </w:r>
      <w:r w:rsidRPr="0047118C">
        <w:rPr>
          <w:rFonts w:cstheme="minorHAnsi"/>
          <w:b/>
          <w:bCs/>
          <w:color w:val="377A2E"/>
          <w:sz w:val="28"/>
          <w:szCs w:val="28"/>
          <w:u w:val="single"/>
        </w:rPr>
        <w:br/>
      </w:r>
      <w:r w:rsidRPr="0047118C">
        <w:rPr>
          <w:rFonts w:cstheme="minorHAnsi"/>
          <w:color w:val="000000"/>
          <w:sz w:val="28"/>
          <w:szCs w:val="28"/>
        </w:rPr>
        <w:t>Les antécédents de TOC ont été associés à un risque accru</w:t>
      </w:r>
      <w:r w:rsidR="00DF0FA2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de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schizophrénie en Corée sur une période de suivi de 12 ans. </w:t>
      </w:r>
      <w:r w:rsidR="00DF0FA2" w:rsidRPr="0047118C">
        <w:rPr>
          <w:rFonts w:cstheme="minorHAnsi"/>
          <w:color w:val="000000"/>
          <w:sz w:val="28"/>
          <w:szCs w:val="28"/>
        </w:rPr>
        <w:t>Ce résultat</w:t>
      </w:r>
      <w:r w:rsidRPr="0047118C">
        <w:rPr>
          <w:rFonts w:cstheme="minorHAnsi"/>
          <w:color w:val="000000"/>
          <w:sz w:val="28"/>
          <w:szCs w:val="28"/>
        </w:rPr>
        <w:t xml:space="preserve"> e</w:t>
      </w:r>
      <w:r w:rsidR="004957C2" w:rsidRPr="0047118C">
        <w:rPr>
          <w:rFonts w:cstheme="minorHAnsi"/>
          <w:color w:val="000000"/>
          <w:sz w:val="28"/>
          <w:szCs w:val="28"/>
        </w:rPr>
        <w:t>st généralement similaire à celui</w:t>
      </w:r>
      <w:r w:rsidRPr="0047118C">
        <w:rPr>
          <w:rFonts w:cstheme="minorHAnsi"/>
          <w:color w:val="000000"/>
          <w:sz w:val="28"/>
          <w:szCs w:val="28"/>
        </w:rPr>
        <w:t xml:space="preserve"> observée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="004957C2" w:rsidRPr="0047118C">
        <w:rPr>
          <w:rFonts w:cstheme="minorHAnsi"/>
          <w:color w:val="000000"/>
          <w:sz w:val="28"/>
          <w:szCs w:val="28"/>
        </w:rPr>
        <w:t>dans des études antérieures :</w:t>
      </w:r>
      <w:r w:rsidRPr="0047118C">
        <w:rPr>
          <w:rFonts w:cstheme="minorHAnsi"/>
          <w:color w:val="000000"/>
          <w:sz w:val="28"/>
          <w:szCs w:val="28"/>
        </w:rPr>
        <w:t xml:space="preserve"> </w:t>
      </w:r>
      <w:r w:rsidR="004957C2" w:rsidRPr="0047118C">
        <w:rPr>
          <w:rFonts w:cstheme="minorHAnsi"/>
          <w:color w:val="000000"/>
          <w:sz w:val="28"/>
          <w:szCs w:val="28"/>
        </w:rPr>
        <w:t>l</w:t>
      </w:r>
      <w:r w:rsidRPr="0047118C">
        <w:rPr>
          <w:rFonts w:cstheme="minorHAnsi"/>
          <w:color w:val="000000"/>
          <w:sz w:val="28"/>
          <w:szCs w:val="28"/>
        </w:rPr>
        <w:t>e taux d'incidence de la schizophrénie était 6,9 fois plus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élevé chez les patients souffrant de TOC que chez les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partici</w:t>
      </w:r>
      <w:r w:rsidR="004957C2" w:rsidRPr="0047118C">
        <w:rPr>
          <w:rFonts w:cstheme="minorHAnsi"/>
          <w:color w:val="000000"/>
          <w:sz w:val="28"/>
          <w:szCs w:val="28"/>
        </w:rPr>
        <w:t>pants ne souffrant pas de TOC</w:t>
      </w:r>
      <w:r w:rsidRPr="0047118C">
        <w:rPr>
          <w:rFonts w:cstheme="minorHAnsi"/>
          <w:color w:val="000000"/>
          <w:sz w:val="28"/>
          <w:szCs w:val="28"/>
        </w:rPr>
        <w:t xml:space="preserve"> et le 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HR de la schizophrénie peut augmenter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avec le temps, comme l'ont </w:t>
      </w:r>
      <w:r w:rsidR="004957C2" w:rsidRPr="0047118C">
        <w:rPr>
          <w:rFonts w:cstheme="minorHAnsi"/>
          <w:color w:val="000000"/>
          <w:sz w:val="28"/>
          <w:szCs w:val="28"/>
        </w:rPr>
        <w:t>rapporté d’autres études</w:t>
      </w:r>
      <w:r w:rsidRPr="0047118C">
        <w:rPr>
          <w:rFonts w:cstheme="minorHAnsi"/>
          <w:color w:val="000000"/>
          <w:sz w:val="28"/>
          <w:szCs w:val="28"/>
        </w:rPr>
        <w:t xml:space="preserve">. Par rapport à l'étude de cohorte taïwanaise, </w:t>
      </w:r>
      <w:r w:rsidR="00336127" w:rsidRPr="0047118C">
        <w:rPr>
          <w:rFonts w:cstheme="minorHAnsi"/>
          <w:color w:val="000000"/>
          <w:sz w:val="28"/>
          <w:szCs w:val="28"/>
        </w:rPr>
        <w:t xml:space="preserve">le </w:t>
      </w:r>
      <w:r w:rsidRPr="0047118C">
        <w:rPr>
          <w:rFonts w:cstheme="minorHAnsi"/>
          <w:color w:val="000000"/>
          <w:sz w:val="28"/>
          <w:szCs w:val="28"/>
        </w:rPr>
        <w:t>résultat</w:t>
      </w:r>
      <w:r w:rsidR="00336127" w:rsidRPr="0047118C">
        <w:rPr>
          <w:rFonts w:cstheme="minorHAnsi"/>
          <w:color w:val="000000"/>
          <w:sz w:val="28"/>
          <w:szCs w:val="28"/>
        </w:rPr>
        <w:t xml:space="preserve"> de</w:t>
      </w:r>
      <w:r w:rsidRPr="0047118C">
        <w:rPr>
          <w:rFonts w:cstheme="minorHAnsi"/>
          <w:color w:val="000000"/>
          <w:sz w:val="28"/>
          <w:szCs w:val="28"/>
        </w:rPr>
        <w:t xml:space="preserve"> (HR = 10,46) </w:t>
      </w:r>
      <w:r w:rsidR="00336127" w:rsidRPr="0047118C">
        <w:rPr>
          <w:rFonts w:cstheme="minorHAnsi"/>
          <w:color w:val="000000"/>
          <w:sz w:val="28"/>
          <w:szCs w:val="28"/>
        </w:rPr>
        <w:t xml:space="preserve">était inférieur au risque </w:t>
      </w:r>
      <w:r w:rsidRPr="0047118C">
        <w:rPr>
          <w:rFonts w:cstheme="minorHAnsi"/>
          <w:color w:val="000000"/>
          <w:sz w:val="28"/>
          <w:szCs w:val="28"/>
        </w:rPr>
        <w:t xml:space="preserve"> (HR = 30,29)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dans cette étude, probablement en raison de la période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d'élimination dans </w:t>
      </w:r>
      <w:r w:rsidR="00336127" w:rsidRPr="0047118C">
        <w:rPr>
          <w:rFonts w:cstheme="minorHAnsi"/>
          <w:color w:val="000000"/>
          <w:sz w:val="28"/>
          <w:szCs w:val="28"/>
        </w:rPr>
        <w:t>la</w:t>
      </w:r>
      <w:r w:rsidRPr="0047118C">
        <w:rPr>
          <w:rFonts w:cstheme="minorHAnsi"/>
          <w:color w:val="000000"/>
          <w:sz w:val="28"/>
          <w:szCs w:val="28"/>
        </w:rPr>
        <w:t xml:space="preserve"> conception de l'étude. </w:t>
      </w:r>
      <w:r w:rsidR="00336127" w:rsidRPr="0047118C">
        <w:rPr>
          <w:rFonts w:cstheme="minorHAnsi"/>
          <w:color w:val="000000"/>
          <w:sz w:val="28"/>
          <w:szCs w:val="28"/>
        </w:rPr>
        <w:t>L</w:t>
      </w:r>
      <w:r w:rsidRPr="0047118C">
        <w:rPr>
          <w:rFonts w:cstheme="minorHAnsi"/>
          <w:color w:val="000000"/>
          <w:sz w:val="28"/>
          <w:szCs w:val="28"/>
        </w:rPr>
        <w:t>es patients diagnostiqués schizophrènes moins d'un an après le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diagnostic initial de TOC</w:t>
      </w:r>
      <w:r w:rsidR="00336127" w:rsidRPr="0047118C">
        <w:rPr>
          <w:rFonts w:cstheme="minorHAnsi"/>
          <w:color w:val="000000"/>
          <w:sz w:val="28"/>
          <w:szCs w:val="28"/>
        </w:rPr>
        <w:t xml:space="preserve"> ont été exclu</w:t>
      </w:r>
      <w:r w:rsidRPr="0047118C">
        <w:rPr>
          <w:rFonts w:cstheme="minorHAnsi"/>
          <w:color w:val="000000"/>
          <w:sz w:val="28"/>
          <w:szCs w:val="28"/>
        </w:rPr>
        <w:t>, car les TOC auraient pu être une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manifestation précoce de la schizophrénie ou un diagnostic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erroné.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</w:p>
    <w:p w:rsidR="00336127" w:rsidRPr="0047118C" w:rsidRDefault="004126FC" w:rsidP="004126FC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color w:val="000000"/>
          <w:sz w:val="28"/>
          <w:szCs w:val="28"/>
        </w:rPr>
        <w:t>L</w:t>
      </w:r>
      <w:r w:rsidR="00336127" w:rsidRPr="0047118C">
        <w:rPr>
          <w:rFonts w:cstheme="minorHAnsi"/>
          <w:color w:val="000000"/>
          <w:sz w:val="28"/>
          <w:szCs w:val="28"/>
        </w:rPr>
        <w:t>es</w:t>
      </w:r>
      <w:r w:rsidR="00D2285F" w:rsidRPr="0047118C">
        <w:rPr>
          <w:rFonts w:cstheme="minorHAnsi"/>
          <w:color w:val="000000"/>
          <w:sz w:val="28"/>
          <w:szCs w:val="28"/>
        </w:rPr>
        <w:t xml:space="preserve"> résultats</w:t>
      </w:r>
      <w:r w:rsidR="00336127" w:rsidRPr="0047118C">
        <w:rPr>
          <w:rFonts w:cstheme="minorHAnsi"/>
          <w:color w:val="000000"/>
          <w:sz w:val="28"/>
          <w:szCs w:val="28"/>
        </w:rPr>
        <w:t xml:space="preserve"> de cette étude</w:t>
      </w:r>
      <w:r w:rsidR="00D2285F" w:rsidRPr="0047118C">
        <w:rPr>
          <w:rFonts w:cstheme="minorHAnsi"/>
          <w:color w:val="000000"/>
          <w:sz w:val="28"/>
          <w:szCs w:val="28"/>
        </w:rPr>
        <w:t xml:space="preserve"> pourraient être la conséquence d'une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="00D2285F" w:rsidRPr="0047118C">
        <w:rPr>
          <w:rFonts w:cstheme="minorHAnsi"/>
          <w:color w:val="000000"/>
          <w:sz w:val="28"/>
          <w:szCs w:val="28"/>
        </w:rPr>
        <w:t>pathologie neurodéveloppementale commune. Certaines études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="00D2285F" w:rsidRPr="0047118C">
        <w:rPr>
          <w:rFonts w:cstheme="minorHAnsi"/>
          <w:color w:val="000000"/>
          <w:sz w:val="28"/>
          <w:szCs w:val="28"/>
        </w:rPr>
        <w:t>ont tenté d'identifier des déficits neurologiques communs pour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="00D2285F" w:rsidRPr="0047118C">
        <w:rPr>
          <w:rFonts w:cstheme="minorHAnsi"/>
          <w:color w:val="000000"/>
          <w:sz w:val="28"/>
          <w:szCs w:val="28"/>
        </w:rPr>
        <w:t>révéler cette association, mais les preuves définitives ne sont pas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="00D2285F" w:rsidRPr="0047118C">
        <w:rPr>
          <w:rFonts w:cstheme="minorHAnsi"/>
          <w:color w:val="000000"/>
          <w:sz w:val="28"/>
          <w:szCs w:val="28"/>
        </w:rPr>
        <w:t>encore claires.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</w:p>
    <w:p w:rsidR="00336127" w:rsidRPr="0047118C" w:rsidRDefault="00D2285F" w:rsidP="004126FC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color w:val="000000"/>
          <w:sz w:val="28"/>
          <w:szCs w:val="28"/>
        </w:rPr>
        <w:t>La forte association entre les TOC et la schizophrénie pourrait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être due à la similitude des symptômes, qui a conduit à un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diagnostic initial erroné chez </w:t>
      </w:r>
      <w:r w:rsidR="004126FC" w:rsidRPr="0047118C">
        <w:rPr>
          <w:rFonts w:cstheme="minorHAnsi"/>
          <w:color w:val="000000"/>
          <w:sz w:val="28"/>
          <w:szCs w:val="28"/>
        </w:rPr>
        <w:t>certains</w:t>
      </w:r>
      <w:r w:rsidRPr="0047118C">
        <w:rPr>
          <w:rFonts w:cstheme="minorHAnsi"/>
          <w:color w:val="000000"/>
          <w:sz w:val="28"/>
          <w:szCs w:val="28"/>
        </w:rPr>
        <w:t xml:space="preserve"> patients. Il est difficile de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différencier les obsessions avec peu de perspicacité et les délires ;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c'est pourquoi (DSM-5-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TR) suggère le spécificateur " croyances délirantes " pour les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TOC. </w:t>
      </w:r>
    </w:p>
    <w:p w:rsidR="00336127" w:rsidRPr="0047118C" w:rsidRDefault="00D2285F" w:rsidP="000B07BF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color w:val="000000"/>
          <w:sz w:val="28"/>
          <w:szCs w:val="28"/>
        </w:rPr>
        <w:t>Une étude antérieure a suggéré que 29 % des patients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atteints de TOC remplissaient les critères de la schizophrénie. En outre, près de 30 % des patients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schizophrènes présentent des TOC. Ainsi, les patients schizophrènes qui présentent des </w:t>
      </w:r>
      <w:r w:rsidR="000A1BA2" w:rsidRPr="0047118C">
        <w:rPr>
          <w:rFonts w:cstheme="minorHAnsi"/>
          <w:color w:val="000000"/>
          <w:sz w:val="28"/>
          <w:szCs w:val="28"/>
        </w:rPr>
        <w:t>SOC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>de manière dominante dans leur phase prodromique pourraient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être diagnostiqués comme souffrant de TOC, qui se </w:t>
      </w:r>
      <w:r w:rsidR="000B07BF" w:rsidRPr="0047118C">
        <w:rPr>
          <w:rFonts w:cstheme="minorHAnsi"/>
          <w:color w:val="000000"/>
          <w:sz w:val="28"/>
          <w:szCs w:val="28"/>
        </w:rPr>
        <w:t>transforme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Pr="0047118C">
        <w:rPr>
          <w:rFonts w:cstheme="minorHAnsi"/>
          <w:color w:val="000000"/>
          <w:sz w:val="28"/>
          <w:szCs w:val="28"/>
        </w:rPr>
        <w:t xml:space="preserve">en schizophrénie dans leur phase active. </w:t>
      </w:r>
    </w:p>
    <w:p w:rsidR="00336127" w:rsidRPr="0047118C" w:rsidRDefault="00336127" w:rsidP="00336127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color w:val="000000"/>
          <w:sz w:val="28"/>
          <w:szCs w:val="28"/>
        </w:rPr>
        <w:t>Les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="00D2285F" w:rsidRPr="0047118C">
        <w:rPr>
          <w:rFonts w:cstheme="minorHAnsi"/>
          <w:color w:val="000000"/>
          <w:sz w:val="28"/>
          <w:szCs w:val="28"/>
        </w:rPr>
        <w:t>résultats</w:t>
      </w:r>
      <w:r w:rsidR="000B07BF" w:rsidRPr="0047118C">
        <w:rPr>
          <w:rFonts w:cstheme="minorHAnsi"/>
          <w:color w:val="000000"/>
          <w:sz w:val="28"/>
          <w:szCs w:val="28"/>
        </w:rPr>
        <w:t xml:space="preserve"> de cette étude</w:t>
      </w:r>
      <w:r w:rsidR="00D2285F" w:rsidRPr="0047118C">
        <w:rPr>
          <w:rFonts w:cstheme="minorHAnsi"/>
          <w:color w:val="000000"/>
          <w:sz w:val="28"/>
          <w:szCs w:val="28"/>
        </w:rPr>
        <w:t xml:space="preserve"> pourraient suggérer que l'association entre le TOC et le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="00D2285F" w:rsidRPr="0047118C">
        <w:rPr>
          <w:rFonts w:cstheme="minorHAnsi"/>
          <w:color w:val="000000"/>
          <w:sz w:val="28"/>
          <w:szCs w:val="28"/>
        </w:rPr>
        <w:t>risque de schizophrénie pourrait être plus élevée dans la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="00D2285F" w:rsidRPr="0047118C">
        <w:rPr>
          <w:rFonts w:cstheme="minorHAnsi"/>
          <w:b/>
          <w:bCs/>
          <w:color w:val="000000"/>
          <w:sz w:val="28"/>
          <w:szCs w:val="28"/>
        </w:rPr>
        <w:t>schizophrénie à début précoce</w:t>
      </w:r>
      <w:r w:rsidR="00D2285F" w:rsidRPr="0047118C">
        <w:rPr>
          <w:rFonts w:cstheme="minorHAnsi"/>
          <w:color w:val="000000"/>
          <w:sz w:val="28"/>
          <w:szCs w:val="28"/>
        </w:rPr>
        <w:t>, mais plus faible dans la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="00D2285F" w:rsidRPr="0047118C">
        <w:rPr>
          <w:rFonts w:cstheme="minorHAnsi"/>
          <w:color w:val="000000"/>
          <w:sz w:val="28"/>
          <w:szCs w:val="28"/>
        </w:rPr>
        <w:t>schizophrénie à début tardif. Le risque plus élevé de schizophrénie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  <w:r w:rsidR="00D2285F" w:rsidRPr="0047118C">
        <w:rPr>
          <w:rFonts w:cstheme="minorHAnsi"/>
          <w:color w:val="000000"/>
          <w:sz w:val="28"/>
          <w:szCs w:val="28"/>
        </w:rPr>
        <w:t>chez les jeunes participants de l'analyse de sous-groupe soutient</w:t>
      </w:r>
      <w:r w:rsidR="00DB3535" w:rsidRPr="0047118C">
        <w:rPr>
          <w:rFonts w:cstheme="minorHAnsi"/>
          <w:color w:val="000000"/>
          <w:sz w:val="28"/>
          <w:szCs w:val="28"/>
        </w:rPr>
        <w:t xml:space="preserve"> </w:t>
      </w:r>
      <w:r w:rsidR="00D2285F" w:rsidRPr="0047118C">
        <w:rPr>
          <w:rFonts w:cstheme="minorHAnsi"/>
          <w:color w:val="000000"/>
          <w:sz w:val="28"/>
          <w:szCs w:val="28"/>
        </w:rPr>
        <w:t>également cette idée.</w:t>
      </w:r>
      <w:r w:rsidR="00D11069" w:rsidRPr="0047118C">
        <w:rPr>
          <w:rFonts w:cstheme="minorHAnsi"/>
          <w:color w:val="000000"/>
          <w:sz w:val="28"/>
          <w:szCs w:val="28"/>
        </w:rPr>
        <w:t xml:space="preserve"> </w:t>
      </w:r>
    </w:p>
    <w:p w:rsidR="00ED5D77" w:rsidRPr="0047118C" w:rsidRDefault="00ED5D77" w:rsidP="00336127">
      <w:pPr>
        <w:spacing w:line="360" w:lineRule="auto"/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47118C">
        <w:rPr>
          <w:rFonts w:cstheme="minorHAnsi"/>
          <w:b/>
          <w:bCs/>
          <w:color w:val="000000"/>
          <w:sz w:val="28"/>
          <w:szCs w:val="28"/>
          <w:u w:val="single"/>
        </w:rPr>
        <w:t>Les limites de l’étude :</w:t>
      </w:r>
    </w:p>
    <w:p w:rsidR="00ED5D77" w:rsidRPr="0047118C" w:rsidRDefault="00ED5D77" w:rsidP="00ED5D7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color w:val="000000"/>
          <w:sz w:val="28"/>
          <w:szCs w:val="28"/>
        </w:rPr>
        <w:t>Etude rétrospective rendant impossibilité d’inclure toutes les variables affectant le développement de la schizophrénie</w:t>
      </w:r>
    </w:p>
    <w:p w:rsidR="00ED5D77" w:rsidRPr="0047118C" w:rsidRDefault="00ED5D77" w:rsidP="00ED5D7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color w:val="000000"/>
          <w:sz w:val="28"/>
          <w:szCs w:val="28"/>
        </w:rPr>
        <w:t>la précision des informations diagnostiques peut avoir été limitée en raison de l'inexactitude du diagnostic des demandes de remboursement</w:t>
      </w:r>
    </w:p>
    <w:p w:rsidR="00ED5D77" w:rsidRPr="0047118C" w:rsidRDefault="00ED5D77" w:rsidP="00ED5D7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color w:val="000000"/>
          <w:sz w:val="28"/>
          <w:szCs w:val="28"/>
        </w:rPr>
        <w:t>des données psychométriques sont manquantes : la gravité et les types de symptômes</w:t>
      </w:r>
    </w:p>
    <w:p w:rsidR="00ED5D77" w:rsidRPr="0047118C" w:rsidRDefault="00ED5D77" w:rsidP="00ED5D7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color w:val="000000"/>
          <w:sz w:val="28"/>
          <w:szCs w:val="28"/>
        </w:rPr>
        <w:t>parmi le large éventail de troubles du spectre schizophrénique, seule la schizophrénie a été inclue</w:t>
      </w:r>
    </w:p>
    <w:p w:rsidR="008B5488" w:rsidRPr="0047118C" w:rsidRDefault="008B5488" w:rsidP="00E7221A">
      <w:pPr>
        <w:spacing w:line="360" w:lineRule="auto"/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47118C">
        <w:rPr>
          <w:rFonts w:cstheme="minorHAnsi"/>
          <w:b/>
          <w:bCs/>
          <w:color w:val="000000"/>
          <w:sz w:val="28"/>
          <w:szCs w:val="28"/>
          <w:u w:val="single"/>
        </w:rPr>
        <w:t>Points forts de l’étude :</w:t>
      </w:r>
    </w:p>
    <w:p w:rsidR="008B5488" w:rsidRPr="0047118C" w:rsidRDefault="008B5488" w:rsidP="008B548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b/>
          <w:bCs/>
          <w:color w:val="000000"/>
          <w:sz w:val="28"/>
          <w:szCs w:val="28"/>
        </w:rPr>
        <w:t>première étude à identifier une association entre une histoire de TOC et le risque de schizophrénie</w:t>
      </w:r>
    </w:p>
    <w:p w:rsidR="00DF1374" w:rsidRDefault="008B5488" w:rsidP="00DF137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7118C">
        <w:rPr>
          <w:rFonts w:cstheme="minorHAnsi"/>
          <w:color w:val="000000"/>
          <w:sz w:val="28"/>
          <w:szCs w:val="28"/>
        </w:rPr>
        <w:t>cohorte d'échantillonnage nationale représentative de la population générale de la Corée</w:t>
      </w:r>
    </w:p>
    <w:p w:rsidR="0047118C" w:rsidRDefault="0047118C" w:rsidP="0047118C">
      <w:pPr>
        <w:spacing w:line="360" w:lineRule="auto"/>
        <w:jc w:val="right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Dr Hicham Laaraj</w:t>
      </w:r>
    </w:p>
    <w:p w:rsidR="0047118C" w:rsidRDefault="0047118C" w:rsidP="0047118C">
      <w:pPr>
        <w:spacing w:line="360" w:lineRule="auto"/>
        <w:jc w:val="right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CHU Souss Massa </w:t>
      </w:r>
    </w:p>
    <w:p w:rsidR="0047118C" w:rsidRPr="0047118C" w:rsidRDefault="0047118C" w:rsidP="0047118C">
      <w:pPr>
        <w:spacing w:line="360" w:lineRule="auto"/>
        <w:jc w:val="right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Avril 2023</w:t>
      </w:r>
    </w:p>
    <w:sectPr w:rsidR="0047118C" w:rsidRPr="0047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inionPro-It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B768C"/>
    <w:multiLevelType w:val="hybridMultilevel"/>
    <w:tmpl w:val="0DB41AD4"/>
    <w:lvl w:ilvl="0" w:tplc="080AEB7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48"/>
    <w:rsid w:val="00036E40"/>
    <w:rsid w:val="0004739D"/>
    <w:rsid w:val="000A1BA2"/>
    <w:rsid w:val="000B07BF"/>
    <w:rsid w:val="000C5FA9"/>
    <w:rsid w:val="00102453"/>
    <w:rsid w:val="001B436A"/>
    <w:rsid w:val="001B6E30"/>
    <w:rsid w:val="00317CBA"/>
    <w:rsid w:val="00331BB1"/>
    <w:rsid w:val="00336127"/>
    <w:rsid w:val="00353FEC"/>
    <w:rsid w:val="004126FC"/>
    <w:rsid w:val="00450BE3"/>
    <w:rsid w:val="0047118C"/>
    <w:rsid w:val="004957C2"/>
    <w:rsid w:val="004B4D9A"/>
    <w:rsid w:val="00530560"/>
    <w:rsid w:val="00553DD1"/>
    <w:rsid w:val="00666727"/>
    <w:rsid w:val="0069555E"/>
    <w:rsid w:val="00697E17"/>
    <w:rsid w:val="006E6E97"/>
    <w:rsid w:val="007E796E"/>
    <w:rsid w:val="00863DA1"/>
    <w:rsid w:val="008B5198"/>
    <w:rsid w:val="008B5488"/>
    <w:rsid w:val="00A06ABA"/>
    <w:rsid w:val="00BE1A2D"/>
    <w:rsid w:val="00C0386B"/>
    <w:rsid w:val="00C26C6D"/>
    <w:rsid w:val="00CF02CF"/>
    <w:rsid w:val="00D049FC"/>
    <w:rsid w:val="00D11069"/>
    <w:rsid w:val="00D2285F"/>
    <w:rsid w:val="00D4533E"/>
    <w:rsid w:val="00D65520"/>
    <w:rsid w:val="00DB3535"/>
    <w:rsid w:val="00DF0FA2"/>
    <w:rsid w:val="00DF1374"/>
    <w:rsid w:val="00E46928"/>
    <w:rsid w:val="00E55233"/>
    <w:rsid w:val="00E7221A"/>
    <w:rsid w:val="00EB5370"/>
    <w:rsid w:val="00ED5D77"/>
    <w:rsid w:val="00EE1B12"/>
    <w:rsid w:val="00F06948"/>
    <w:rsid w:val="00FB7D46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A797-CE4B-428A-A81B-91554005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3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D2285F"/>
    <w:rPr>
      <w:rFonts w:ascii="Calibri" w:hAnsi="Calibri" w:cs="Calibri" w:hint="default"/>
      <w:b w:val="0"/>
      <w:bCs w:val="0"/>
      <w:i w:val="0"/>
      <w:iCs w:val="0"/>
      <w:color w:val="377A2E"/>
      <w:sz w:val="36"/>
      <w:szCs w:val="36"/>
    </w:rPr>
  </w:style>
  <w:style w:type="character" w:customStyle="1" w:styleId="fontstyle11">
    <w:name w:val="fontstyle11"/>
    <w:basedOn w:val="Policepardfaut"/>
    <w:rsid w:val="00D2285F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D2285F"/>
    <w:rPr>
      <w:rFonts w:ascii="MinionPro-It" w:hAnsi="MinionPro-It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D2285F"/>
    <w:rPr>
      <w:rFonts w:ascii="MinionPro-It" w:hAnsi="MinionPro-It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D2285F"/>
    <w:rPr>
      <w:rFonts w:ascii="Calibri-Italic" w:hAnsi="Calibri-Italic" w:hint="default"/>
      <w:b w:val="0"/>
      <w:bCs w:val="0"/>
      <w:i/>
      <w:iCs/>
      <w:color w:val="377A2E"/>
      <w:sz w:val="20"/>
      <w:szCs w:val="20"/>
    </w:rPr>
  </w:style>
  <w:style w:type="character" w:customStyle="1" w:styleId="fontstyle51">
    <w:name w:val="fontstyle51"/>
    <w:basedOn w:val="Policepardfaut"/>
    <w:rsid w:val="00D2285F"/>
    <w:rPr>
      <w:rFonts w:ascii="DejaVuSans" w:hAnsi="DejaVuSans" w:hint="default"/>
      <w:b w:val="0"/>
      <w:bCs w:val="0"/>
      <w:i w:val="0"/>
      <w:iCs w:val="0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53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038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D5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1271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surface</cp:lastModifiedBy>
  <cp:revision>4</cp:revision>
  <dcterms:created xsi:type="dcterms:W3CDTF">2023-03-31T11:19:00Z</dcterms:created>
  <dcterms:modified xsi:type="dcterms:W3CDTF">2023-04-30T22:32:00Z</dcterms:modified>
</cp:coreProperties>
</file>