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C2" w:rsidRPr="002A0268" w:rsidRDefault="00B83AC2" w:rsidP="002A0268">
      <w:pPr>
        <w:jc w:val="center"/>
        <w:rPr>
          <w:b/>
          <w:bCs/>
          <w:sz w:val="28"/>
          <w:szCs w:val="28"/>
        </w:rPr>
      </w:pPr>
      <w:r w:rsidRPr="002A0268">
        <w:rPr>
          <w:b/>
          <w:bCs/>
          <w:sz w:val="28"/>
          <w:szCs w:val="28"/>
        </w:rPr>
        <w:t xml:space="preserve">L’efficacité et la sécurité de la médication chez les enfants et les adolescents </w:t>
      </w:r>
      <w:r w:rsidR="002A0268" w:rsidRPr="002A0268">
        <w:rPr>
          <w:b/>
          <w:bCs/>
          <w:sz w:val="28"/>
          <w:szCs w:val="28"/>
        </w:rPr>
        <w:t>avec des</w:t>
      </w:r>
      <w:r w:rsidRPr="002A0268">
        <w:rPr>
          <w:b/>
          <w:bCs/>
          <w:sz w:val="28"/>
          <w:szCs w:val="28"/>
        </w:rPr>
        <w:t xml:space="preserve"> troubles de </w:t>
      </w:r>
      <w:r w:rsidR="002A0268" w:rsidRPr="002A0268">
        <w:rPr>
          <w:b/>
          <w:bCs/>
          <w:sz w:val="28"/>
          <w:szCs w:val="28"/>
        </w:rPr>
        <w:t>déficit d’attention et</w:t>
      </w:r>
      <w:r w:rsidRPr="002A0268">
        <w:rPr>
          <w:b/>
          <w:bCs/>
          <w:sz w:val="28"/>
          <w:szCs w:val="28"/>
        </w:rPr>
        <w:t xml:space="preserve"> d’hyperactivité</w:t>
      </w:r>
      <w:r w:rsidR="007F41B6" w:rsidRPr="002A0268">
        <w:rPr>
          <w:b/>
          <w:bCs/>
          <w:sz w:val="28"/>
          <w:szCs w:val="28"/>
        </w:rPr>
        <w:t xml:space="preserve"> (</w:t>
      </w:r>
      <w:r w:rsidR="002A0268" w:rsidRPr="002A0268">
        <w:rPr>
          <w:b/>
          <w:bCs/>
          <w:sz w:val="28"/>
          <w:szCs w:val="28"/>
        </w:rPr>
        <w:t>TDHA) avec</w:t>
      </w:r>
      <w:r w:rsidR="007F41B6" w:rsidRPr="002A0268">
        <w:rPr>
          <w:b/>
          <w:bCs/>
          <w:sz w:val="28"/>
          <w:szCs w:val="28"/>
        </w:rPr>
        <w:t xml:space="preserve"> </w:t>
      </w:r>
      <w:r w:rsidR="002A0268" w:rsidRPr="002A0268">
        <w:rPr>
          <w:b/>
          <w:bCs/>
          <w:sz w:val="28"/>
          <w:szCs w:val="28"/>
        </w:rPr>
        <w:t>comorbidités :</w:t>
      </w:r>
      <w:r w:rsidRPr="002A0268">
        <w:rPr>
          <w:b/>
          <w:bCs/>
          <w:sz w:val="28"/>
          <w:szCs w:val="28"/>
        </w:rPr>
        <w:t xml:space="preserve"> Revue systématique</w:t>
      </w:r>
    </w:p>
    <w:p w:rsidR="00543DC6" w:rsidRPr="002A6B92" w:rsidRDefault="00543DC6" w:rsidP="00B83AC2">
      <w:pPr>
        <w:rPr>
          <w:lang w:val="en-US"/>
        </w:rPr>
      </w:pPr>
    </w:p>
    <w:p w:rsidR="00B83AC2" w:rsidRPr="002A0268" w:rsidRDefault="00B83AC2" w:rsidP="00B83AC2">
      <w:pPr>
        <w:rPr>
          <w:b/>
          <w:bCs/>
          <w:u w:val="single"/>
        </w:rPr>
      </w:pPr>
      <w:proofErr w:type="gramStart"/>
      <w:r w:rsidRPr="002A0268">
        <w:rPr>
          <w:b/>
          <w:bCs/>
          <w:u w:val="single"/>
        </w:rPr>
        <w:t>Introduction:</w:t>
      </w:r>
      <w:proofErr w:type="gramEnd"/>
    </w:p>
    <w:p w:rsidR="00B83AC2" w:rsidRDefault="00B83AC2" w:rsidP="002A0268">
      <w:pPr>
        <w:contextualSpacing/>
        <w:jc w:val="both"/>
      </w:pPr>
      <w:r>
        <w:t>Le Trouble de déficit d’attention et d’hyperactivité (</w:t>
      </w:r>
      <w:r w:rsidR="002A0268">
        <w:t>TDHA) est</w:t>
      </w:r>
      <w:r>
        <w:t xml:space="preserve"> un trouble </w:t>
      </w:r>
      <w:r w:rsidR="002A0268">
        <w:t>neurodéveloppemental fréquent</w:t>
      </w:r>
      <w:r>
        <w:t>, qui se caractérise par une difficulté persis</w:t>
      </w:r>
      <w:r w:rsidR="009B5C03">
        <w:t>tante à moduler l’attention</w:t>
      </w:r>
      <w:r>
        <w:t xml:space="preserve">, une difficulté à contrôler le comportement (impulsivité) et parfois les émotions. </w:t>
      </w:r>
    </w:p>
    <w:p w:rsidR="00B83AC2" w:rsidRDefault="00B83AC2" w:rsidP="002A0268">
      <w:pPr>
        <w:contextualSpacing/>
        <w:jc w:val="both"/>
      </w:pPr>
      <w:r>
        <w:t xml:space="preserve">La comorbidité psychiatrique chez les enfants et adolescents souffrant du TDHA, est une problématique </w:t>
      </w:r>
      <w:proofErr w:type="gramStart"/>
      <w:r>
        <w:t>fréquente  surajoutant</w:t>
      </w:r>
      <w:proofErr w:type="gramEnd"/>
      <w:r>
        <w:t xml:space="preserve"> un fardeau supplémentaire sur le dos des patients et</w:t>
      </w:r>
      <w:r w:rsidR="009B5C03">
        <w:t xml:space="preserve"> leur entourage</w:t>
      </w:r>
      <w:r>
        <w:t>, compliquant ainsi leur gestion et traitement.</w:t>
      </w:r>
    </w:p>
    <w:p w:rsidR="00B83AC2" w:rsidRDefault="00B83AC2" w:rsidP="002A0268">
      <w:pPr>
        <w:contextualSpacing/>
        <w:jc w:val="both"/>
      </w:pPr>
      <w:r>
        <w:t xml:space="preserve">Etant donné que peu d’équipes se sont concentrées sur la revue de littérature concernant ce sujet, ils se sont juste focalisés sur un seul trouble ou un seul traitement, contrairement à cette étude qui </w:t>
      </w:r>
      <w:r w:rsidR="009B5C03">
        <w:t xml:space="preserve">en </w:t>
      </w:r>
      <w:r>
        <w:t xml:space="preserve">a englobé plusieurs. </w:t>
      </w:r>
    </w:p>
    <w:p w:rsidR="00B83AC2" w:rsidRDefault="00B83AC2" w:rsidP="002A0268">
      <w:pPr>
        <w:contextualSpacing/>
        <w:jc w:val="both"/>
      </w:pPr>
      <w:r>
        <w:t>La revue systématique pour ce sujet a</w:t>
      </w:r>
      <w:r w:rsidR="007F41B6">
        <w:t xml:space="preserve"> </w:t>
      </w:r>
      <w:proofErr w:type="gramStart"/>
      <w:r w:rsidR="007F41B6">
        <w:t xml:space="preserve">ainsi </w:t>
      </w:r>
      <w:r>
        <w:t xml:space="preserve"> exploré</w:t>
      </w:r>
      <w:proofErr w:type="gramEnd"/>
      <w:r>
        <w:t xml:space="preserve"> l’efficacité et la sécurité de: </w:t>
      </w:r>
      <w:r w:rsidR="00A62E0D">
        <w:t>l’</w:t>
      </w:r>
      <w:r w:rsidR="009B5C03">
        <w:t>amphétamines</w:t>
      </w:r>
      <w:r>
        <w:t xml:space="preserve">, </w:t>
      </w:r>
      <w:r w:rsidR="00A62E0D">
        <w:t xml:space="preserve">la </w:t>
      </w:r>
      <w:proofErr w:type="spellStart"/>
      <w:r>
        <w:t>methylphén</w:t>
      </w:r>
      <w:r w:rsidR="009B5C03">
        <w:t>idate</w:t>
      </w:r>
      <w:proofErr w:type="spellEnd"/>
      <w:r w:rsidR="009B5C03">
        <w:t xml:space="preserve"> et ses dérivés, l’</w:t>
      </w:r>
      <w:proofErr w:type="spellStart"/>
      <w:r w:rsidR="009B5C03">
        <w:t>atomoxetin</w:t>
      </w:r>
      <w:r>
        <w:t>e</w:t>
      </w:r>
      <w:proofErr w:type="spellEnd"/>
      <w:r>
        <w:t xml:space="preserve"> (ATX) et  </w:t>
      </w:r>
      <w:r w:rsidR="00A62E0D">
        <w:t xml:space="preserve">la </w:t>
      </w:r>
      <w:proofErr w:type="spellStart"/>
      <w:r w:rsidR="00A62E0D">
        <w:t>G</w:t>
      </w:r>
      <w:r>
        <w:t>unfacine</w:t>
      </w:r>
      <w:proofErr w:type="spellEnd"/>
      <w:r>
        <w:t xml:space="preserve"> à libération prolongée (</w:t>
      </w:r>
      <w:r w:rsidR="007F41B6">
        <w:t>GXR)</w:t>
      </w:r>
      <w:r>
        <w:t xml:space="preserve">, </w:t>
      </w:r>
      <w:r w:rsidR="00A62E0D">
        <w:t>ainsi que la comorbidité des enfants et adolescents sou</w:t>
      </w:r>
      <w:r w:rsidR="007F41B6">
        <w:t>f</w:t>
      </w:r>
      <w:r w:rsidR="00A62E0D">
        <w:t>frant d’</w:t>
      </w:r>
      <w:r w:rsidR="007F41B6">
        <w:t>un TDHA</w:t>
      </w:r>
      <w:r w:rsidR="009B5C03">
        <w:t xml:space="preserve"> avec un trouble du</w:t>
      </w:r>
      <w:r w:rsidR="00A62E0D">
        <w:t xml:space="preserve"> spectre autistique, </w:t>
      </w:r>
      <w:r w:rsidR="007F41B6">
        <w:t>le</w:t>
      </w:r>
      <w:r w:rsidR="009B5C03">
        <w:t xml:space="preserve"> syndrome oppositionnel</w:t>
      </w:r>
      <w:r w:rsidR="00A62E0D">
        <w:t xml:space="preserve">, </w:t>
      </w:r>
      <w:r w:rsidR="007F41B6">
        <w:t xml:space="preserve">la maladie de </w:t>
      </w:r>
      <w:r w:rsidR="009B5C03">
        <w:t xml:space="preserve">Gilles de la </w:t>
      </w:r>
      <w:proofErr w:type="spellStart"/>
      <w:r w:rsidR="007F41B6">
        <w:t>tourette</w:t>
      </w:r>
      <w:proofErr w:type="spellEnd"/>
      <w:r w:rsidR="00A62E0D">
        <w:t xml:space="preserve"> et autres tics, </w:t>
      </w:r>
      <w:r w:rsidR="007F41B6">
        <w:t>le trouble d’anxiété généralisé, et le trouble dépressif majeur.</w:t>
      </w:r>
    </w:p>
    <w:p w:rsidR="007F41B6" w:rsidRDefault="007F41B6" w:rsidP="00B83AC2"/>
    <w:p w:rsidR="007F41B6" w:rsidRPr="002A0268" w:rsidRDefault="007F41B6" w:rsidP="00B83AC2">
      <w:pPr>
        <w:rPr>
          <w:b/>
          <w:bCs/>
          <w:u w:val="single"/>
        </w:rPr>
      </w:pPr>
      <w:r w:rsidRPr="002A0268">
        <w:rPr>
          <w:b/>
          <w:bCs/>
          <w:u w:val="single"/>
        </w:rPr>
        <w:t xml:space="preserve">Matériel et méthode : </w:t>
      </w:r>
    </w:p>
    <w:p w:rsidR="007F41B6" w:rsidRDefault="007F41B6" w:rsidP="002A0268">
      <w:pPr>
        <w:contextualSpacing/>
        <w:jc w:val="both"/>
      </w:pPr>
      <w:proofErr w:type="gramStart"/>
      <w:r>
        <w:t>La revue de la littérature à été réalisé jusqu’à octobre 2019 en se basant sur trois sources : MEDLINE</w:t>
      </w:r>
      <w:r w:rsidR="009A670D">
        <w:t xml:space="preserve"> ( entre 1946 à 2 octobre 2019)</w:t>
      </w:r>
      <w:r>
        <w:t>, Embase</w:t>
      </w:r>
      <w:r w:rsidR="009B5C03">
        <w:t xml:space="preserve"> (en</w:t>
      </w:r>
      <w:r w:rsidR="009A670D">
        <w:t>tre 1974 et 2octobre 2019)</w:t>
      </w:r>
      <w:r>
        <w:t xml:space="preserve"> et Clinicaltrials.gov pour les patients mineurs </w:t>
      </w:r>
      <w:r w:rsidR="00543DC6">
        <w:t>âgés entre 6 et</w:t>
      </w:r>
      <w:r>
        <w:t xml:space="preserve"> 18 ans avec un trouble de déficit d’attention et d’hyperactivité (TDHA), qui ont certains comorbidités: spectre autistique, le syndrome oppositionnel défiant, la maladie de </w:t>
      </w:r>
      <w:r w:rsidR="009B5C03">
        <w:t xml:space="preserve">Gilles de la </w:t>
      </w:r>
      <w:proofErr w:type="spellStart"/>
      <w:r>
        <w:t>tourette</w:t>
      </w:r>
      <w:proofErr w:type="spellEnd"/>
      <w:r>
        <w:t xml:space="preserve"> et autres tics, le trouble d’anxiété généralisé, et le trouble dépressif majeur et </w:t>
      </w:r>
      <w:r w:rsidR="00543DC6">
        <w:t>qui</w:t>
      </w:r>
      <w:r>
        <w:t xml:space="preserve"> ont été traité par les </w:t>
      </w:r>
      <w:r w:rsidR="00543DC6">
        <w:t>molécules</w:t>
      </w:r>
      <w:r w:rsidR="009B5C03">
        <w:t xml:space="preserve"> suivantes: les amphétamines</w:t>
      </w:r>
      <w:r>
        <w:t xml:space="preserve">, la </w:t>
      </w:r>
      <w:proofErr w:type="spellStart"/>
      <w:r>
        <w:t>methylphénidate</w:t>
      </w:r>
      <w:proofErr w:type="spellEnd"/>
      <w:r>
        <w:t xml:space="preserve"> et ses dérivés</w:t>
      </w:r>
      <w:r w:rsidR="00A21809">
        <w:t xml:space="preserve"> (</w:t>
      </w:r>
      <w:proofErr w:type="spellStart"/>
      <w:r w:rsidR="00A21809">
        <w:t>MPHs</w:t>
      </w:r>
      <w:proofErr w:type="spellEnd"/>
      <w:r w:rsidR="00A21809">
        <w:t>)</w:t>
      </w:r>
      <w:r w:rsidR="009B5C03">
        <w:t>, l’</w:t>
      </w:r>
      <w:proofErr w:type="spellStart"/>
      <w:r w:rsidR="009B5C03">
        <w:t>atomoxét</w:t>
      </w:r>
      <w:r>
        <w:t>ine</w:t>
      </w:r>
      <w:proofErr w:type="spellEnd"/>
      <w:r>
        <w:t xml:space="preserve"> (ATX) et  la </w:t>
      </w:r>
      <w:proofErr w:type="spellStart"/>
      <w:r>
        <w:t>Gunfacine</w:t>
      </w:r>
      <w:proofErr w:type="spellEnd"/>
      <w:r>
        <w:t xml:space="preserve"> à libération prolongée (GXR)</w:t>
      </w:r>
      <w:r w:rsidR="009A670D">
        <w:t xml:space="preserve"> d’une durée d’au moins 7 jours)</w:t>
      </w:r>
      <w:r>
        <w:t>.</w:t>
      </w:r>
      <w:proofErr w:type="gramEnd"/>
    </w:p>
    <w:p w:rsidR="00543DC6" w:rsidRDefault="00543DC6" w:rsidP="002A0268">
      <w:pPr>
        <w:contextualSpacing/>
        <w:jc w:val="both"/>
      </w:pPr>
      <w:r>
        <w:t>Au total en</w:t>
      </w:r>
      <w:r w:rsidR="009B5C03">
        <w:t xml:space="preserve">virons 69 études ont été retenues </w:t>
      </w:r>
      <w:r>
        <w:t>(de 2177 études potentielles initiales), ces 69 sont répartie</w:t>
      </w:r>
      <w:r w:rsidR="00FB7C57">
        <w:t>s</w:t>
      </w:r>
      <w:r>
        <w:t xml:space="preserve"> de la manière </w:t>
      </w:r>
      <w:proofErr w:type="gramStart"/>
      <w:r>
        <w:t>suivante:</w:t>
      </w:r>
      <w:proofErr w:type="gramEnd"/>
      <w:r>
        <w:t xml:space="preserve"> 5 méta-analyse</w:t>
      </w:r>
      <w:r w:rsidR="00FB7C57">
        <w:t>s</w:t>
      </w:r>
      <w:r>
        <w:t>, 37 étude placebo contrôlé</w:t>
      </w:r>
      <w:r w:rsidR="00FB7C57">
        <w:t>es</w:t>
      </w:r>
      <w:r>
        <w:t xml:space="preserve"> et randomisé</w:t>
      </w:r>
      <w:r w:rsidR="00FB7C57">
        <w:t>es</w:t>
      </w:r>
      <w:r>
        <w:t>, 16 études cohorte, et 11 rapport de cas.</w:t>
      </w:r>
    </w:p>
    <w:p w:rsidR="00543DC6" w:rsidRDefault="000A7A73" w:rsidP="002A0268">
      <w:pPr>
        <w:contextualSpacing/>
        <w:jc w:val="both"/>
      </w:pPr>
      <w:r>
        <w:t>Le protocole de recherche de littérature a été développé pour cette étude en accordance avec PRISMA (</w:t>
      </w:r>
      <w:proofErr w:type="spellStart"/>
      <w:r w:rsidRPr="000A7A73">
        <w:t>preferred</w:t>
      </w:r>
      <w:proofErr w:type="spellEnd"/>
      <w:r w:rsidRPr="000A7A73">
        <w:t xml:space="preserve"> </w:t>
      </w:r>
      <w:proofErr w:type="spellStart"/>
      <w:r w:rsidRPr="000A7A73">
        <w:t>reporting</w:t>
      </w:r>
      <w:proofErr w:type="spellEnd"/>
      <w:r w:rsidRPr="000A7A73">
        <w:t xml:space="preserve"> items for </w:t>
      </w:r>
      <w:proofErr w:type="spellStart"/>
      <w:r w:rsidRPr="000A7A73">
        <w:t>systematic</w:t>
      </w:r>
      <w:proofErr w:type="spellEnd"/>
      <w:r w:rsidRPr="000A7A73">
        <w:t xml:space="preserve"> </w:t>
      </w:r>
      <w:proofErr w:type="spellStart"/>
      <w:r w:rsidRPr="000A7A73">
        <w:t>reviews</w:t>
      </w:r>
      <w:proofErr w:type="spellEnd"/>
      <w:r w:rsidRPr="000A7A73">
        <w:t xml:space="preserve"> and </w:t>
      </w:r>
      <w:proofErr w:type="spellStart"/>
      <w:r w:rsidRPr="000A7A73">
        <w:t>meta</w:t>
      </w:r>
      <w:proofErr w:type="spellEnd"/>
      <w:r w:rsidRPr="000A7A73">
        <w:t>-analyses</w:t>
      </w:r>
      <w:r w:rsidR="00FB7C57">
        <w:t xml:space="preserve">). </w:t>
      </w:r>
      <w:r>
        <w:t xml:space="preserve">Cette revue ne contient aucune nouvelle étude initiée par l’équipe de l’université de </w:t>
      </w:r>
      <w:proofErr w:type="spellStart"/>
      <w:r>
        <w:t>Kindai</w:t>
      </w:r>
      <w:proofErr w:type="spellEnd"/>
      <w:r>
        <w:t>.</w:t>
      </w:r>
      <w:r w:rsidR="00FB7C57">
        <w:t xml:space="preserve"> </w:t>
      </w:r>
      <w:r w:rsidR="00543DC6">
        <w:t xml:space="preserve">Cette étude a été initiée par le département de la neuropsychiatrie, faculté de médecine, Université </w:t>
      </w:r>
      <w:r w:rsidR="00843B9C">
        <w:t xml:space="preserve">de </w:t>
      </w:r>
      <w:proofErr w:type="spellStart"/>
      <w:r w:rsidR="00843B9C">
        <w:t>Kindai</w:t>
      </w:r>
      <w:proofErr w:type="spellEnd"/>
      <w:r>
        <w:t>, Osaka, Japon.</w:t>
      </w:r>
    </w:p>
    <w:p w:rsidR="009A670D" w:rsidRDefault="009A670D" w:rsidP="00543DC6">
      <w:pPr>
        <w:contextualSpacing/>
        <w:jc w:val="both"/>
      </w:pPr>
    </w:p>
    <w:p w:rsidR="009A670D" w:rsidRPr="002A0268" w:rsidRDefault="009A670D" w:rsidP="00543DC6">
      <w:pPr>
        <w:contextualSpacing/>
        <w:jc w:val="both"/>
        <w:rPr>
          <w:b/>
          <w:bCs/>
          <w:u w:val="single"/>
        </w:rPr>
      </w:pPr>
      <w:r w:rsidRPr="002A0268">
        <w:rPr>
          <w:b/>
          <w:bCs/>
          <w:u w:val="single"/>
        </w:rPr>
        <w:t>Résultats et discussion :</w:t>
      </w:r>
    </w:p>
    <w:p w:rsidR="009A670D" w:rsidRDefault="009A670D" w:rsidP="00543DC6">
      <w:pPr>
        <w:contextualSpacing/>
        <w:jc w:val="both"/>
      </w:pPr>
    </w:p>
    <w:p w:rsidR="007B0DE9" w:rsidRDefault="00FB7C57" w:rsidP="002A0268">
      <w:pPr>
        <w:contextualSpacing/>
        <w:jc w:val="both"/>
      </w:pPr>
      <w:r>
        <w:lastRenderedPageBreak/>
        <w:t xml:space="preserve">Au total, </w:t>
      </w:r>
      <w:r w:rsidR="009A670D">
        <w:t>2177 études ont été exploré</w:t>
      </w:r>
      <w:r>
        <w:t>es. L</w:t>
      </w:r>
      <w:r w:rsidR="007B0DE9">
        <w:t>a raison principale</w:t>
      </w:r>
      <w:r w:rsidR="009A670D">
        <w:t xml:space="preserve"> de l’exclusion de la plupart de ces études été la duplication ou les études sur des patients sans critères d’éligibilité, </w:t>
      </w:r>
      <w:r>
        <w:t xml:space="preserve">et </w:t>
      </w:r>
      <w:r w:rsidR="007B0DE9">
        <w:t xml:space="preserve">au total 69 </w:t>
      </w:r>
      <w:r>
        <w:t xml:space="preserve">études </w:t>
      </w:r>
      <w:r w:rsidR="007B0DE9">
        <w:t>ont été retenu</w:t>
      </w:r>
      <w:r>
        <w:t>e</w:t>
      </w:r>
      <w:r w:rsidR="007B0DE9">
        <w:t>s.</w:t>
      </w:r>
    </w:p>
    <w:p w:rsidR="007B0DE9" w:rsidRDefault="007B0DE9" w:rsidP="002A0268">
      <w:pPr>
        <w:contextualSpacing/>
        <w:jc w:val="both"/>
      </w:pPr>
      <w:r>
        <w:t>Pour les patients avec le</w:t>
      </w:r>
      <w:r w:rsidR="00FB7C57">
        <w:t xml:space="preserve"> spectre autistique étaient</w:t>
      </w:r>
      <w:r>
        <w:t xml:space="preserve"> la comorbidité la plus f</w:t>
      </w:r>
      <w:r w:rsidR="00FB7C57">
        <w:t>réquente. Deux</w:t>
      </w:r>
      <w:r>
        <w:t xml:space="preserve"> études ont démontré une bonne amélioration des symptômes à savoir l’inattention, l’hyperactivité et impulsivité sous l’ATX et le GXR, comparé au placebo, une autre étude à montré que le CGI-I et/ou CGI-S, pour le CGI-I il s’est amélioré sous </w:t>
      </w:r>
      <w:proofErr w:type="spellStart"/>
      <w:r>
        <w:t>MP</w:t>
      </w:r>
      <w:r w:rsidR="00FB7C57">
        <w:t>Hs</w:t>
      </w:r>
      <w:proofErr w:type="spellEnd"/>
      <w:r w:rsidR="00FB7C57">
        <w:t xml:space="preserve">, ATX et GXR comparés </w:t>
      </w:r>
      <w:r>
        <w:t xml:space="preserve">au placebo </w:t>
      </w:r>
      <w:r w:rsidR="00A21809">
        <w:t>(</w:t>
      </w:r>
      <w:proofErr w:type="gramStart"/>
      <w:r w:rsidR="00A21809">
        <w:t>malgré</w:t>
      </w:r>
      <w:proofErr w:type="gramEnd"/>
      <w:r>
        <w:t xml:space="preserve"> que la qualité de cette étude </w:t>
      </w:r>
      <w:r w:rsidR="00FB7C57">
        <w:t>ait été modeste). U</w:t>
      </w:r>
      <w:r>
        <w:t xml:space="preserve">ne étude par la suite </w:t>
      </w:r>
      <w:r w:rsidR="00A21809">
        <w:t xml:space="preserve">a montré une bonne amélioration du CGI-S sous </w:t>
      </w:r>
      <w:proofErr w:type="spellStart"/>
      <w:r w:rsidR="00A21809">
        <w:t>MPHs</w:t>
      </w:r>
      <w:proofErr w:type="spellEnd"/>
      <w:r w:rsidR="00A21809">
        <w:t>.</w:t>
      </w:r>
    </w:p>
    <w:p w:rsidR="00A21809" w:rsidRDefault="00A21809" w:rsidP="002A0268">
      <w:pPr>
        <w:contextualSpacing/>
        <w:jc w:val="both"/>
      </w:pPr>
      <w:r>
        <w:t>Pour les patients ayant l</w:t>
      </w:r>
      <w:r w:rsidR="00FB7C57">
        <w:t>e syndrome oppositionnel</w:t>
      </w:r>
      <w:r>
        <w:t xml:space="preserve"> comme comorbidité, la plupart des études se sont concentré sur l’efficac</w:t>
      </w:r>
      <w:r w:rsidR="00FB7C57">
        <w:t xml:space="preserve">ité de l’ATX, le reste avait une efficacité controversée </w:t>
      </w:r>
      <w:r>
        <w:t>pour les autres molécules.</w:t>
      </w:r>
    </w:p>
    <w:p w:rsidR="00FB7C57" w:rsidRDefault="00FB7C57" w:rsidP="002A0268">
      <w:pPr>
        <w:contextualSpacing/>
        <w:jc w:val="both"/>
      </w:pPr>
    </w:p>
    <w:p w:rsidR="00A21809" w:rsidRDefault="00A21809" w:rsidP="002A0268">
      <w:pPr>
        <w:contextualSpacing/>
        <w:jc w:val="both"/>
      </w:pPr>
      <w:r>
        <w:t xml:space="preserve">Pour les patients ayant la maladie de </w:t>
      </w:r>
      <w:r w:rsidR="00FB7C57">
        <w:t xml:space="preserve">Gille de la </w:t>
      </w:r>
      <w:r>
        <w:t xml:space="preserve">Tourette et les tics comme comorbidités, peu d’étude l’ont exploré, néanmoins une bonne amélioration des symptômes a été </w:t>
      </w:r>
      <w:proofErr w:type="gramStart"/>
      <w:r>
        <w:t>observé</w:t>
      </w:r>
      <w:proofErr w:type="gramEnd"/>
      <w:r>
        <w:t xml:space="preserve"> sous ATX et GXR.</w:t>
      </w:r>
    </w:p>
    <w:p w:rsidR="00FB7C57" w:rsidRDefault="00FB7C57" w:rsidP="002A0268">
      <w:pPr>
        <w:contextualSpacing/>
        <w:jc w:val="both"/>
      </w:pPr>
    </w:p>
    <w:p w:rsidR="00FB7C57" w:rsidRDefault="00A21809" w:rsidP="002A0268">
      <w:pPr>
        <w:contextualSpacing/>
        <w:jc w:val="both"/>
      </w:pPr>
      <w:r>
        <w:t xml:space="preserve">Pour les patients avec une anxiété généralisé et un syndrome dépressif majeur comme comorbidité, </w:t>
      </w:r>
      <w:r w:rsidR="00FB7C57">
        <w:t xml:space="preserve">il y’ eu une </w:t>
      </w:r>
      <w:r w:rsidR="00843B9C">
        <w:t xml:space="preserve">amélioration des symptômes avec </w:t>
      </w:r>
      <w:r w:rsidR="00FB7C57">
        <w:t>un traitement aux ATX.</w:t>
      </w:r>
    </w:p>
    <w:p w:rsidR="00FB7C57" w:rsidRDefault="00FB7C57" w:rsidP="002A0268">
      <w:pPr>
        <w:contextualSpacing/>
        <w:jc w:val="both"/>
      </w:pPr>
    </w:p>
    <w:p w:rsidR="00843B9C" w:rsidRDefault="00843B9C" w:rsidP="002A0268">
      <w:pPr>
        <w:contextualSpacing/>
        <w:jc w:val="both"/>
      </w:pPr>
      <w:r>
        <w:t>Peu d</w:t>
      </w:r>
      <w:r w:rsidR="00FB7C57">
        <w:t>’études ont exploré la sécurité</w:t>
      </w:r>
      <w:r>
        <w:t xml:space="preserve"> de ces t</w:t>
      </w:r>
      <w:r w:rsidR="00FB7C57">
        <w:t xml:space="preserve">raitements sur les patients ayant un </w:t>
      </w:r>
      <w:r>
        <w:t xml:space="preserve">ADHD avec </w:t>
      </w:r>
      <w:r w:rsidR="000D6302">
        <w:t xml:space="preserve">des </w:t>
      </w:r>
      <w:r>
        <w:t>comorbidités, sans comparaison directe.</w:t>
      </w:r>
      <w:r w:rsidR="000D6302">
        <w:t xml:space="preserve"> En effet, c</w:t>
      </w:r>
      <w:r>
        <w:t>es traitements ont parf</w:t>
      </w:r>
      <w:r w:rsidR="000D6302">
        <w:t>ois conduit à des effets secondaires comparés au placebo. P</w:t>
      </w:r>
      <w:r>
        <w:t xml:space="preserve">ar exemple chez les patients ayant le trouble autistique comme comorbidité, ils ont diminué l’appétit, majoré l’anxiété et l’insomnie dans certain cas, </w:t>
      </w:r>
      <w:r w:rsidR="000D6302">
        <w:t xml:space="preserve">et ont </w:t>
      </w:r>
      <w:r>
        <w:t>majoré également les symptômes dépressif</w:t>
      </w:r>
      <w:r w:rsidR="000D6302">
        <w:t>s</w:t>
      </w:r>
      <w:r>
        <w:t xml:space="preserve"> e</w:t>
      </w:r>
      <w:r w:rsidR="000D6302">
        <w:t>t l’irritabilité, et ces effets</w:t>
      </w:r>
      <w:r>
        <w:t xml:space="preserve"> ont été majoritairement associé</w:t>
      </w:r>
      <w:r w:rsidR="000D6302">
        <w:t>s</w:t>
      </w:r>
      <w:r>
        <w:t xml:space="preserve"> au </w:t>
      </w:r>
      <w:proofErr w:type="spellStart"/>
      <w:r>
        <w:t>MPHs</w:t>
      </w:r>
      <w:proofErr w:type="spellEnd"/>
      <w:r>
        <w:t>.</w:t>
      </w:r>
    </w:p>
    <w:p w:rsidR="00843B9C" w:rsidRDefault="006D67DA" w:rsidP="002A0268">
      <w:pPr>
        <w:contextualSpacing/>
        <w:jc w:val="both"/>
      </w:pPr>
      <w:r>
        <w:t>Les effets cardiovasculaires</w:t>
      </w:r>
      <w:r w:rsidR="00843B9C">
        <w:t xml:space="preserve"> et </w:t>
      </w:r>
      <w:r w:rsidR="000D6302">
        <w:t>effets sur le poids</w:t>
      </w:r>
      <w:r w:rsidR="00843B9C">
        <w:t xml:space="preserve"> non pas été rapporté</w:t>
      </w:r>
      <w:r w:rsidR="000D6302">
        <w:t>s</w:t>
      </w:r>
      <w:r w:rsidR="00843B9C">
        <w:t xml:space="preserve"> par </w:t>
      </w:r>
      <w:r w:rsidR="00DF516B">
        <w:t>la plupart de c</w:t>
      </w:r>
      <w:r w:rsidR="00843B9C">
        <w:t>es études</w:t>
      </w:r>
      <w:r w:rsidR="00DF516B">
        <w:t xml:space="preserve">, sauf </w:t>
      </w:r>
      <w:r>
        <w:t>quelques-unes</w:t>
      </w:r>
      <w:r w:rsidR="00DF516B">
        <w:t xml:space="preserve"> qui ont suggéré une certaine association avec </w:t>
      </w:r>
      <w:r>
        <w:t>l’</w:t>
      </w:r>
      <w:proofErr w:type="spellStart"/>
      <w:r>
        <w:t>AMPs</w:t>
      </w:r>
      <w:proofErr w:type="spellEnd"/>
      <w:r>
        <w:t xml:space="preserve">, </w:t>
      </w:r>
      <w:proofErr w:type="spellStart"/>
      <w:r>
        <w:t>MPHs</w:t>
      </w:r>
      <w:proofErr w:type="spellEnd"/>
      <w:r>
        <w:t xml:space="preserve"> et l’ATX.</w:t>
      </w:r>
    </w:p>
    <w:p w:rsidR="006D67DA" w:rsidRDefault="006D67DA" w:rsidP="002A0268">
      <w:pPr>
        <w:tabs>
          <w:tab w:val="left" w:pos="7890"/>
        </w:tabs>
        <w:contextualSpacing/>
        <w:jc w:val="both"/>
      </w:pPr>
      <w:r>
        <w:t>Également les exacerbations de quelques tics ont été rapporté</w:t>
      </w:r>
      <w:r w:rsidR="000D6302">
        <w:t>es</w:t>
      </w:r>
      <w:r>
        <w:t xml:space="preserve"> par des études sur des patients sous </w:t>
      </w:r>
      <w:proofErr w:type="spellStart"/>
      <w:r>
        <w:t>MPHs</w:t>
      </w:r>
      <w:proofErr w:type="spellEnd"/>
      <w:r>
        <w:t xml:space="preserve"> et ATX.</w:t>
      </w:r>
    </w:p>
    <w:p w:rsidR="00B83AC2" w:rsidRDefault="006D67DA" w:rsidP="002A0268">
      <w:pPr>
        <w:jc w:val="both"/>
      </w:pPr>
      <w:r>
        <w:t>Au total c’est la première revue systématique incluant autant d’études et e</w:t>
      </w:r>
      <w:r w:rsidR="000D6302">
        <w:t>xplorant autant de paramètres. C</w:t>
      </w:r>
      <w:r>
        <w:t>ette étude a mis le point sur</w:t>
      </w:r>
      <w:r w:rsidR="000D6302">
        <w:t xml:space="preserve"> la limitation des informations</w:t>
      </w:r>
      <w:r>
        <w:t xml:space="preserve"> tiré</w:t>
      </w:r>
      <w:r w:rsidR="000D6302">
        <w:t>es des études contrôles comparées</w:t>
      </w:r>
      <w:r>
        <w:t xml:space="preserve"> à un placebo sur l’efficacité des traitement</w:t>
      </w:r>
      <w:r w:rsidR="009C7891">
        <w:t>s</w:t>
      </w:r>
      <w:r>
        <w:t xml:space="preserve"> sur les symptômes de la ADHD avec de</w:t>
      </w:r>
      <w:r w:rsidR="000D6302">
        <w:t xml:space="preserve">s comorbidités psychiatriques. </w:t>
      </w:r>
      <w:bookmarkStart w:id="0" w:name="_GoBack"/>
      <w:bookmarkEnd w:id="0"/>
    </w:p>
    <w:p w:rsidR="00972FC3" w:rsidRPr="002A0268" w:rsidRDefault="00972FC3" w:rsidP="002A0268">
      <w:pPr>
        <w:contextualSpacing/>
        <w:jc w:val="center"/>
        <w:rPr>
          <w:b/>
          <w:bCs/>
        </w:rPr>
      </w:pPr>
    </w:p>
    <w:p w:rsidR="002A0268" w:rsidRPr="002A0268" w:rsidRDefault="000D6302" w:rsidP="000D6302">
      <w:pPr>
        <w:contextualSpacing/>
        <w:jc w:val="right"/>
        <w:rPr>
          <w:b/>
          <w:bCs/>
        </w:rPr>
      </w:pPr>
      <w:r>
        <w:rPr>
          <w:b/>
          <w:bCs/>
        </w:rPr>
        <w:t>Dr. Amine TBATOU</w:t>
      </w:r>
    </w:p>
    <w:p w:rsidR="002A0268" w:rsidRPr="002A0268" w:rsidRDefault="002A0268" w:rsidP="000D6302">
      <w:pPr>
        <w:contextualSpacing/>
        <w:jc w:val="right"/>
        <w:rPr>
          <w:b/>
          <w:bCs/>
        </w:rPr>
      </w:pPr>
      <w:r w:rsidRPr="002A0268">
        <w:rPr>
          <w:b/>
          <w:bCs/>
        </w:rPr>
        <w:t>Service de psychiatrie</w:t>
      </w:r>
    </w:p>
    <w:p w:rsidR="002A0268" w:rsidRPr="002A0268" w:rsidRDefault="002A0268" w:rsidP="000D6302">
      <w:pPr>
        <w:contextualSpacing/>
        <w:jc w:val="right"/>
        <w:rPr>
          <w:b/>
          <w:bCs/>
        </w:rPr>
      </w:pPr>
      <w:r w:rsidRPr="002A0268">
        <w:rPr>
          <w:b/>
          <w:bCs/>
        </w:rPr>
        <w:t>CHU SOUSS MASSA</w:t>
      </w:r>
    </w:p>
    <w:sectPr w:rsidR="002A0268" w:rsidRPr="002A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C2"/>
    <w:rsid w:val="000A7A73"/>
    <w:rsid w:val="000D6302"/>
    <w:rsid w:val="00166638"/>
    <w:rsid w:val="001D46D8"/>
    <w:rsid w:val="002A0268"/>
    <w:rsid w:val="002A6B92"/>
    <w:rsid w:val="00543DC6"/>
    <w:rsid w:val="006D67DA"/>
    <w:rsid w:val="00790151"/>
    <w:rsid w:val="007B0DE9"/>
    <w:rsid w:val="007F41B6"/>
    <w:rsid w:val="00843B9C"/>
    <w:rsid w:val="00972FC3"/>
    <w:rsid w:val="009A670D"/>
    <w:rsid w:val="009B5C03"/>
    <w:rsid w:val="009C7891"/>
    <w:rsid w:val="00A21809"/>
    <w:rsid w:val="00A62E0D"/>
    <w:rsid w:val="00B83AC2"/>
    <w:rsid w:val="00DF516B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BA519-E3BB-4691-B630-455B99D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6B92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A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810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surface</cp:lastModifiedBy>
  <cp:revision>4</cp:revision>
  <dcterms:created xsi:type="dcterms:W3CDTF">2022-02-27T09:08:00Z</dcterms:created>
  <dcterms:modified xsi:type="dcterms:W3CDTF">2022-03-01T08:55:00Z</dcterms:modified>
</cp:coreProperties>
</file>