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990F" w14:textId="025C58D0" w:rsidR="0067730B" w:rsidRPr="00B65DB2" w:rsidRDefault="0028736B" w:rsidP="0036788B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0028736B">
        <w:br/>
      </w:r>
      <w:proofErr w:type="gramStart"/>
      <w:r w:rsidR="00094F6F">
        <w:rPr>
          <w:b/>
          <w:bCs/>
          <w:color w:val="0070C0"/>
          <w:sz w:val="32"/>
          <w:szCs w:val="32"/>
          <w:u w:val="single"/>
        </w:rPr>
        <w:t xml:space="preserve">Efficacité </w:t>
      </w:r>
      <w:r w:rsidRPr="00B65DB2">
        <w:rPr>
          <w:b/>
          <w:bCs/>
          <w:color w:val="0070C0"/>
          <w:sz w:val="32"/>
          <w:szCs w:val="32"/>
          <w:u w:val="single"/>
        </w:rPr>
        <w:t xml:space="preserve"> </w:t>
      </w:r>
      <w:r w:rsidR="00B65DB2" w:rsidRPr="00B65DB2">
        <w:rPr>
          <w:b/>
          <w:bCs/>
          <w:color w:val="0070C0"/>
          <w:sz w:val="32"/>
          <w:szCs w:val="32"/>
          <w:u w:val="single"/>
        </w:rPr>
        <w:t>des</w:t>
      </w:r>
      <w:proofErr w:type="gramEnd"/>
      <w:r w:rsidR="00B65DB2" w:rsidRPr="00B65DB2">
        <w:rPr>
          <w:b/>
          <w:bCs/>
          <w:color w:val="0070C0"/>
          <w:sz w:val="32"/>
          <w:szCs w:val="32"/>
          <w:u w:val="single"/>
        </w:rPr>
        <w:t xml:space="preserve"> antipsychotiques</w:t>
      </w:r>
      <w:r w:rsidRPr="00B65DB2">
        <w:rPr>
          <w:b/>
          <w:bCs/>
          <w:color w:val="0070C0"/>
          <w:sz w:val="32"/>
          <w:szCs w:val="32"/>
          <w:u w:val="single"/>
        </w:rPr>
        <w:t xml:space="preserve"> chez 1 011 patients</w:t>
      </w:r>
      <w:r w:rsidR="0036788B" w:rsidRPr="00B65DB2">
        <w:rPr>
          <w:b/>
          <w:bCs/>
          <w:color w:val="0070C0"/>
          <w:sz w:val="32"/>
          <w:szCs w:val="32"/>
          <w:u w:val="single"/>
        </w:rPr>
        <w:t xml:space="preserve"> </w:t>
      </w:r>
      <w:r w:rsidR="00094F6F">
        <w:rPr>
          <w:b/>
          <w:bCs/>
          <w:color w:val="0070C0"/>
          <w:sz w:val="32"/>
          <w:szCs w:val="32"/>
          <w:u w:val="single"/>
        </w:rPr>
        <w:t xml:space="preserve">hospitalisés </w:t>
      </w:r>
      <w:r w:rsidR="0036788B" w:rsidRPr="00B65DB2">
        <w:rPr>
          <w:b/>
          <w:bCs/>
          <w:color w:val="0070C0"/>
          <w:sz w:val="32"/>
          <w:szCs w:val="32"/>
          <w:u w:val="single"/>
        </w:rPr>
        <w:t xml:space="preserve">ayant une </w:t>
      </w:r>
      <w:r w:rsidR="00306764" w:rsidRPr="00B65DB2">
        <w:rPr>
          <w:b/>
          <w:bCs/>
          <w:color w:val="0070C0"/>
          <w:sz w:val="32"/>
          <w:szCs w:val="32"/>
          <w:u w:val="single"/>
        </w:rPr>
        <w:t>schizophrénie</w:t>
      </w:r>
      <w:bookmarkStart w:id="0" w:name="_GoBack"/>
      <w:bookmarkEnd w:id="0"/>
      <w:r w:rsidRPr="00B65DB2">
        <w:rPr>
          <w:b/>
          <w:bCs/>
          <w:color w:val="0070C0"/>
          <w:sz w:val="32"/>
          <w:szCs w:val="32"/>
          <w:u w:val="single"/>
        </w:rPr>
        <w:t>: une étude de suivi d'un an</w:t>
      </w:r>
    </w:p>
    <w:p w14:paraId="1F58EA4F" w14:textId="19CDB075" w:rsidR="0036788B" w:rsidRDefault="0036788B" w:rsidP="00B6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65DB2">
        <w:rPr>
          <w:rFonts w:ascii="Times New Roman" w:hAnsi="Times New Roman" w:cs="Times New Roman"/>
          <w:b/>
          <w:bCs/>
          <w:sz w:val="32"/>
          <w:szCs w:val="32"/>
          <w:lang w:val="en-US"/>
        </w:rPr>
        <w:t>Real-world effectiveness of antipsychotic treatments in 1,011 acutely hospitalized</w:t>
      </w:r>
      <w:r w:rsidR="00B65DB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B65DB2">
        <w:rPr>
          <w:rFonts w:ascii="Times New Roman" w:hAnsi="Times New Roman" w:cs="Times New Roman"/>
          <w:b/>
          <w:bCs/>
          <w:sz w:val="32"/>
          <w:szCs w:val="32"/>
          <w:lang w:val="en-US"/>
        </w:rPr>
        <w:t>patients with schizophrenia: A one-year follow-up study</w:t>
      </w:r>
    </w:p>
    <w:p w14:paraId="02F72697" w14:textId="77777777" w:rsidR="00B65DB2" w:rsidRPr="00B65DB2" w:rsidRDefault="00B65DB2" w:rsidP="00B6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74A8BC3" w14:textId="0FFE0251" w:rsidR="00327BAE" w:rsidRPr="00B65DB2" w:rsidRDefault="00327BAE" w:rsidP="0028736B">
      <w:pPr>
        <w:rPr>
          <w:sz w:val="28"/>
          <w:szCs w:val="28"/>
        </w:rPr>
      </w:pPr>
      <w:r w:rsidRPr="00B65DB2">
        <w:rPr>
          <w:b/>
          <w:bCs/>
          <w:sz w:val="28"/>
          <w:szCs w:val="28"/>
          <w:u w:val="single"/>
        </w:rPr>
        <w:t>Introduction :</w:t>
      </w:r>
    </w:p>
    <w:p w14:paraId="286D56A1" w14:textId="77777777" w:rsidR="00B65DB2" w:rsidRDefault="00231084" w:rsidP="00231084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Comme stratégie de traitement de la schizophrénie par antipsychotiques, la monothérapie est clairement optimale lorsqu'elle est à la fois efficace et tolérée. Lorsqu'il y a une mauvaise réponse à un traitement initial, le passage à un autre antipsychotique est recommandé. Pour</w:t>
      </w:r>
      <w:r w:rsidR="00B51EFD" w:rsidRPr="00B65DB2">
        <w:rPr>
          <w:sz w:val="28"/>
          <w:szCs w:val="28"/>
          <w:lang w:val="fr-FR"/>
        </w:rPr>
        <w:t xml:space="preserve"> les</w:t>
      </w:r>
      <w:r w:rsidRPr="00B65DB2">
        <w:rPr>
          <w:sz w:val="28"/>
          <w:szCs w:val="28"/>
          <w:lang w:val="fr-FR"/>
        </w:rPr>
        <w:t xml:space="preserve"> patients qui ne répondent pas à un premier ou à un deuxième antipsychotique, la clozapine est la seule option</w:t>
      </w:r>
      <w:r w:rsidR="00B51EFD" w:rsidRPr="00B65DB2">
        <w:rPr>
          <w:sz w:val="28"/>
          <w:szCs w:val="28"/>
          <w:lang w:val="fr-FR"/>
        </w:rPr>
        <w:t xml:space="preserve"> thérapeutique</w:t>
      </w:r>
      <w:r w:rsidRPr="00B65DB2">
        <w:rPr>
          <w:sz w:val="28"/>
          <w:szCs w:val="28"/>
          <w:lang w:val="fr-FR"/>
        </w:rPr>
        <w:t xml:space="preserve"> </w:t>
      </w:r>
      <w:r w:rsidR="00B51EFD" w:rsidRPr="00B65DB2">
        <w:rPr>
          <w:sz w:val="28"/>
          <w:szCs w:val="28"/>
          <w:lang w:val="fr-FR"/>
        </w:rPr>
        <w:t>d’efficacité bien démontrée</w:t>
      </w:r>
      <w:r w:rsidR="00B65DB2">
        <w:rPr>
          <w:sz w:val="28"/>
          <w:szCs w:val="28"/>
          <w:lang w:val="fr-FR"/>
        </w:rPr>
        <w:t>.</w:t>
      </w:r>
    </w:p>
    <w:p w14:paraId="005DD031" w14:textId="05A13350" w:rsidR="00B65DB2" w:rsidRDefault="00B65DB2" w:rsidP="00231084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P</w:t>
      </w:r>
      <w:r w:rsidR="00231084" w:rsidRPr="00B65DB2">
        <w:rPr>
          <w:sz w:val="28"/>
          <w:szCs w:val="28"/>
          <w:lang w:val="fr-FR"/>
        </w:rPr>
        <w:t>ar contre</w:t>
      </w:r>
      <w:r>
        <w:rPr>
          <w:sz w:val="28"/>
          <w:szCs w:val="28"/>
          <w:lang w:val="fr-FR"/>
        </w:rPr>
        <w:t>,</w:t>
      </w:r>
      <w:r w:rsidR="00231084" w:rsidRPr="00B65DB2">
        <w:rPr>
          <w:sz w:val="28"/>
          <w:szCs w:val="28"/>
          <w:lang w:val="fr-FR"/>
        </w:rPr>
        <w:t xml:space="preserve"> </w:t>
      </w:r>
      <w:r w:rsidR="00B51EFD" w:rsidRPr="00B65DB2">
        <w:rPr>
          <w:sz w:val="28"/>
          <w:szCs w:val="28"/>
          <w:lang w:val="fr-FR"/>
        </w:rPr>
        <w:t>elle</w:t>
      </w:r>
      <w:r w:rsidR="00231084" w:rsidRPr="00B65DB2">
        <w:rPr>
          <w:sz w:val="28"/>
          <w:szCs w:val="28"/>
          <w:lang w:val="fr-FR"/>
        </w:rPr>
        <w:t xml:space="preserve"> </w:t>
      </w:r>
      <w:r w:rsidR="006F4D7D" w:rsidRPr="00B65DB2">
        <w:rPr>
          <w:sz w:val="28"/>
          <w:szCs w:val="28"/>
          <w:lang w:val="fr-FR"/>
        </w:rPr>
        <w:t xml:space="preserve">est </w:t>
      </w:r>
      <w:r w:rsidR="00231084" w:rsidRPr="00B65DB2">
        <w:rPr>
          <w:sz w:val="28"/>
          <w:szCs w:val="28"/>
          <w:lang w:val="fr-FR"/>
        </w:rPr>
        <w:t xml:space="preserve">moins gérable que les autres antipsychotiques </w:t>
      </w:r>
      <w:r w:rsidR="00B51EFD" w:rsidRPr="00B65DB2">
        <w:rPr>
          <w:sz w:val="28"/>
          <w:szCs w:val="28"/>
          <w:lang w:val="fr-FR"/>
        </w:rPr>
        <w:t xml:space="preserve">car elle </w:t>
      </w:r>
      <w:r w:rsidR="006F4D7D" w:rsidRPr="00B65DB2">
        <w:rPr>
          <w:sz w:val="28"/>
          <w:szCs w:val="28"/>
          <w:lang w:val="fr-FR"/>
        </w:rPr>
        <w:t xml:space="preserve">est </w:t>
      </w:r>
      <w:r w:rsidR="00231084" w:rsidRPr="00B65DB2">
        <w:rPr>
          <w:sz w:val="28"/>
          <w:szCs w:val="28"/>
          <w:lang w:val="fr-FR"/>
        </w:rPr>
        <w:t>accompagné</w:t>
      </w:r>
      <w:r w:rsidR="00B51EFD" w:rsidRPr="00B65DB2">
        <w:rPr>
          <w:sz w:val="28"/>
          <w:szCs w:val="28"/>
          <w:lang w:val="fr-FR"/>
        </w:rPr>
        <w:t>e</w:t>
      </w:r>
      <w:r w:rsidR="00231084" w:rsidRPr="00B65DB2">
        <w:rPr>
          <w:sz w:val="28"/>
          <w:szCs w:val="28"/>
          <w:lang w:val="fr-FR"/>
        </w:rPr>
        <w:t xml:space="preserve"> d'une fréquence relativement élevée d'agranulocytose induite. De plus, </w:t>
      </w:r>
      <w:r w:rsidR="006F4D7D" w:rsidRPr="00B65DB2">
        <w:rPr>
          <w:sz w:val="28"/>
          <w:szCs w:val="28"/>
          <w:lang w:val="fr-FR"/>
        </w:rPr>
        <w:t xml:space="preserve">un </w:t>
      </w:r>
      <w:r w:rsidR="00231084" w:rsidRPr="00B65DB2">
        <w:rPr>
          <w:sz w:val="28"/>
          <w:szCs w:val="28"/>
          <w:lang w:val="fr-FR"/>
        </w:rPr>
        <w:t xml:space="preserve">bon nombre de patients atteints de schizophrénie résistante au traitement sont résistants même à la </w:t>
      </w:r>
      <w:proofErr w:type="spellStart"/>
      <w:r w:rsidR="00231084" w:rsidRPr="00B65DB2">
        <w:rPr>
          <w:sz w:val="28"/>
          <w:szCs w:val="28"/>
          <w:lang w:val="fr-FR"/>
        </w:rPr>
        <w:t>clozapine</w:t>
      </w:r>
      <w:proofErr w:type="spellEnd"/>
      <w:r w:rsidR="00231084" w:rsidRPr="00B65DB2">
        <w:rPr>
          <w:sz w:val="28"/>
          <w:szCs w:val="28"/>
          <w:lang w:val="fr-FR"/>
        </w:rPr>
        <w:t>.</w:t>
      </w:r>
    </w:p>
    <w:p w14:paraId="64118D5D" w14:textId="6C0280B1" w:rsidR="00231084" w:rsidRPr="00B65DB2" w:rsidRDefault="00231084" w:rsidP="00231084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 Par ailleurs, </w:t>
      </w:r>
      <w:r w:rsidR="006F4D7D" w:rsidRPr="00B65DB2">
        <w:rPr>
          <w:sz w:val="28"/>
          <w:szCs w:val="28"/>
          <w:lang w:val="fr-FR"/>
        </w:rPr>
        <w:t xml:space="preserve">les </w:t>
      </w:r>
      <w:r w:rsidRPr="00B65DB2">
        <w:rPr>
          <w:sz w:val="28"/>
          <w:szCs w:val="28"/>
          <w:lang w:val="fr-FR"/>
        </w:rPr>
        <w:t xml:space="preserve">essais cliniques randomisés (ECR), qui sont généralement la base de méta-analyses ou directives cliniques, posent un problème majeur en ce qui concerne la sélection des patients. Jusqu'à 80% à 90 % des patients sont exclus des ECR </w:t>
      </w:r>
      <w:r w:rsidR="00B65DB2">
        <w:rPr>
          <w:sz w:val="28"/>
          <w:szCs w:val="28"/>
          <w:lang w:val="fr-FR"/>
        </w:rPr>
        <w:t>en raison du refus, de conduites addictives</w:t>
      </w:r>
      <w:r w:rsidRPr="00B65DB2">
        <w:rPr>
          <w:sz w:val="28"/>
          <w:szCs w:val="28"/>
          <w:lang w:val="fr-FR"/>
        </w:rPr>
        <w:t xml:space="preserve">, de </w:t>
      </w:r>
      <w:r w:rsidR="00B65DB2">
        <w:rPr>
          <w:sz w:val="28"/>
          <w:szCs w:val="28"/>
          <w:lang w:val="fr-FR"/>
        </w:rPr>
        <w:t>pensées suicidaires, de</w:t>
      </w:r>
      <w:r w:rsidRPr="00B65DB2">
        <w:rPr>
          <w:sz w:val="28"/>
          <w:szCs w:val="28"/>
          <w:lang w:val="fr-FR"/>
        </w:rPr>
        <w:t xml:space="preserve"> comportement antisocial ou</w:t>
      </w:r>
      <w:r w:rsidR="00B65DB2">
        <w:rPr>
          <w:sz w:val="28"/>
          <w:szCs w:val="28"/>
          <w:lang w:val="fr-FR"/>
        </w:rPr>
        <w:t xml:space="preserve"> bien d’une</w:t>
      </w:r>
      <w:r w:rsidRPr="00B65DB2">
        <w:rPr>
          <w:sz w:val="28"/>
          <w:szCs w:val="28"/>
          <w:lang w:val="fr-FR"/>
        </w:rPr>
        <w:t xml:space="preserve"> comorbidité mentale ou physique </w:t>
      </w:r>
      <w:r w:rsidR="00AD1B0E" w:rsidRPr="00B65DB2">
        <w:rPr>
          <w:sz w:val="28"/>
          <w:szCs w:val="28"/>
          <w:lang w:val="fr-FR"/>
        </w:rPr>
        <w:t xml:space="preserve">selon </w:t>
      </w:r>
      <w:r w:rsidRPr="00B65DB2">
        <w:rPr>
          <w:sz w:val="28"/>
          <w:szCs w:val="28"/>
          <w:lang w:val="fr-FR"/>
        </w:rPr>
        <w:t>Hofer et al. De plus, les taux d'abandon des patients sont d'environ 50 à 60 % dans les ECR</w:t>
      </w:r>
      <w:r w:rsidR="00B65DB2">
        <w:rPr>
          <w:sz w:val="28"/>
          <w:szCs w:val="28"/>
          <w:lang w:val="fr-FR"/>
        </w:rPr>
        <w:t xml:space="preserve"> précédents</w:t>
      </w:r>
      <w:r w:rsidRPr="00B65DB2">
        <w:rPr>
          <w:sz w:val="28"/>
          <w:szCs w:val="28"/>
          <w:lang w:val="fr-FR"/>
        </w:rPr>
        <w:t xml:space="preserve">. </w:t>
      </w:r>
    </w:p>
    <w:p w14:paraId="443D8E55" w14:textId="100D2824" w:rsidR="00520DDB" w:rsidRPr="00B65DB2" w:rsidRDefault="004F20A3" w:rsidP="00520DDB">
      <w:pPr>
        <w:rPr>
          <w:b/>
          <w:bCs/>
          <w:sz w:val="28"/>
          <w:szCs w:val="28"/>
          <w:u w:val="single"/>
        </w:rPr>
      </w:pPr>
      <w:r w:rsidRPr="00B65DB2">
        <w:rPr>
          <w:b/>
          <w:bCs/>
          <w:sz w:val="28"/>
          <w:szCs w:val="28"/>
          <w:u w:val="single"/>
        </w:rPr>
        <w:t>Méthode</w:t>
      </w:r>
      <w:r w:rsidR="00520DDB" w:rsidRPr="00B65DB2">
        <w:rPr>
          <w:b/>
          <w:bCs/>
          <w:sz w:val="28"/>
          <w:szCs w:val="28"/>
          <w:u w:val="single"/>
        </w:rPr>
        <w:t xml:space="preserve"> et objectifs :</w:t>
      </w:r>
    </w:p>
    <w:p w14:paraId="2E5CE04A" w14:textId="1D1CA619" w:rsidR="00520DDB" w:rsidRPr="00B65DB2" w:rsidRDefault="00520DDB" w:rsidP="00E22C1B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Cette étude prospective a été menée sur une période de 19 mois dans 12 établissements psychiatriques</w:t>
      </w:r>
      <w:r w:rsidR="00B91888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d'urgence au Japon. Les patients nouvellement admis en psychiatrie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aux urgences entre septembre 2019 et mars 2020 en raison d'un début aigu ou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exacerbation de la schizophrénie et d'autres troubles psychotiques tels que définis par le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Manuel diagnostique et statistique des troubles mentaux, cinquième édition, ont été inclus. Tou</w:t>
      </w:r>
      <w:r w:rsidR="00E22C1B" w:rsidRPr="00B65DB2">
        <w:rPr>
          <w:sz w:val="28"/>
          <w:szCs w:val="28"/>
          <w:lang w:val="fr-FR"/>
        </w:rPr>
        <w:t xml:space="preserve">s </w:t>
      </w:r>
      <w:r w:rsidRPr="00B65DB2">
        <w:rPr>
          <w:sz w:val="28"/>
          <w:szCs w:val="28"/>
          <w:lang w:val="fr-FR"/>
        </w:rPr>
        <w:t>les patients ont été suivis pendant un an après leur sortie ou jusqu'au 31 mars 2021.</w:t>
      </w:r>
    </w:p>
    <w:p w14:paraId="0B3A82E7" w14:textId="6D5F6DD3" w:rsidR="00520DDB" w:rsidRPr="00B65DB2" w:rsidRDefault="00E22C1B" w:rsidP="00E22C1B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lastRenderedPageBreak/>
        <w:t>Le</w:t>
      </w:r>
      <w:r w:rsidR="00520DDB" w:rsidRPr="00B65DB2">
        <w:rPr>
          <w:sz w:val="28"/>
          <w:szCs w:val="28"/>
          <w:lang w:val="fr-FR"/>
        </w:rPr>
        <w:t xml:space="preserve"> critère de jugement principal était le risque d'échec du traitement défini comme étant la ré</w:t>
      </w:r>
      <w:r w:rsidR="004F20A3" w:rsidRPr="00B65DB2">
        <w:rPr>
          <w:sz w:val="28"/>
          <w:szCs w:val="28"/>
          <w:lang w:val="fr-FR"/>
        </w:rPr>
        <w:t>-</w:t>
      </w:r>
      <w:r w:rsidR="00520DDB" w:rsidRPr="00B65DB2">
        <w:rPr>
          <w:sz w:val="28"/>
          <w:szCs w:val="28"/>
          <w:lang w:val="fr-FR"/>
        </w:rPr>
        <w:t>hospitalisation</w:t>
      </w:r>
      <w:r w:rsidR="007903DE" w:rsidRPr="00B65DB2">
        <w:rPr>
          <w:sz w:val="28"/>
          <w:szCs w:val="28"/>
          <w:lang w:val="fr-FR"/>
        </w:rPr>
        <w:t xml:space="preserve"> psychiatrique</w:t>
      </w:r>
      <w:r w:rsidR="00520DDB" w:rsidRPr="00B65DB2">
        <w:rPr>
          <w:sz w:val="28"/>
          <w:szCs w:val="28"/>
          <w:lang w:val="fr-FR"/>
        </w:rPr>
        <w:t xml:space="preserve">, l'arrêt du traitement, le décès ou la poursuite </w:t>
      </w:r>
      <w:r w:rsidRPr="00B65DB2">
        <w:rPr>
          <w:sz w:val="28"/>
          <w:szCs w:val="28"/>
          <w:lang w:val="fr-FR"/>
        </w:rPr>
        <w:t>d’hospitalisation</w:t>
      </w:r>
      <w:r w:rsidR="00520DDB" w:rsidRPr="00B65DB2">
        <w:rPr>
          <w:sz w:val="28"/>
          <w:szCs w:val="28"/>
          <w:lang w:val="fr-FR"/>
        </w:rPr>
        <w:t xml:space="preserve"> d'un an. </w:t>
      </w:r>
    </w:p>
    <w:p w14:paraId="3999F9D0" w14:textId="7043DB9B" w:rsidR="004F20A3" w:rsidRPr="00B65DB2" w:rsidRDefault="004F20A3" w:rsidP="004F20A3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L'objectif de l'étude visait à déterminer l'efficacité des traitements antipsychotiques en se concentrant sur </w:t>
      </w:r>
      <w:r w:rsidR="005B78C3" w:rsidRPr="00B65DB2">
        <w:rPr>
          <w:sz w:val="28"/>
          <w:szCs w:val="28"/>
          <w:lang w:val="fr-FR"/>
        </w:rPr>
        <w:t>les antipsychotiques injectables à long durée d’action (</w:t>
      </w:r>
      <w:r w:rsidRPr="00B65DB2">
        <w:rPr>
          <w:sz w:val="28"/>
          <w:szCs w:val="28"/>
          <w:lang w:val="fr-FR"/>
        </w:rPr>
        <w:t>LAI</w:t>
      </w:r>
      <w:r w:rsidR="005B78C3" w:rsidRPr="00B65DB2">
        <w:rPr>
          <w:sz w:val="28"/>
          <w:szCs w:val="28"/>
          <w:lang w:val="fr-FR"/>
        </w:rPr>
        <w:t>)</w:t>
      </w:r>
      <w:r w:rsidRPr="00B65DB2">
        <w:rPr>
          <w:sz w:val="28"/>
          <w:szCs w:val="28"/>
          <w:lang w:val="fr-FR"/>
        </w:rPr>
        <w:t xml:space="preserve"> et polythérapie antipsychotique</w:t>
      </w:r>
      <w:r w:rsidR="005B78C3" w:rsidRPr="00B65DB2">
        <w:rPr>
          <w:sz w:val="28"/>
          <w:szCs w:val="28"/>
          <w:lang w:val="fr-FR"/>
        </w:rPr>
        <w:t xml:space="preserve"> sans clozapine</w:t>
      </w:r>
      <w:r w:rsidRPr="00B65DB2">
        <w:rPr>
          <w:sz w:val="28"/>
          <w:szCs w:val="28"/>
          <w:lang w:val="fr-FR"/>
        </w:rPr>
        <w:t xml:space="preserve"> </w:t>
      </w:r>
      <w:r w:rsidR="00066215" w:rsidRPr="00B65DB2">
        <w:rPr>
          <w:sz w:val="28"/>
          <w:szCs w:val="28"/>
          <w:lang w:val="fr-FR"/>
        </w:rPr>
        <w:t xml:space="preserve">(APEC) </w:t>
      </w:r>
      <w:r w:rsidRPr="00B65DB2">
        <w:rPr>
          <w:sz w:val="28"/>
          <w:szCs w:val="28"/>
          <w:lang w:val="fr-FR"/>
        </w:rPr>
        <w:t>pour la prévention des échecs thérapeutiques chez les patients avec la schizophrénie.</w:t>
      </w:r>
    </w:p>
    <w:p w14:paraId="124DF057" w14:textId="77777777" w:rsidR="00C104EF" w:rsidRPr="00B65DB2" w:rsidRDefault="00C104EF" w:rsidP="00E22C1B">
      <w:pPr>
        <w:rPr>
          <w:sz w:val="28"/>
          <w:szCs w:val="28"/>
          <w:lang w:val="fr-FR"/>
        </w:rPr>
      </w:pPr>
    </w:p>
    <w:p w14:paraId="10F8489E" w14:textId="71B1407E" w:rsidR="0028736B" w:rsidRPr="00B65DB2" w:rsidRDefault="00520DDB" w:rsidP="0028736B">
      <w:pPr>
        <w:rPr>
          <w:b/>
          <w:bCs/>
          <w:sz w:val="28"/>
          <w:szCs w:val="28"/>
          <w:u w:val="single"/>
        </w:rPr>
      </w:pPr>
      <w:r w:rsidRPr="00B65DB2">
        <w:rPr>
          <w:b/>
          <w:bCs/>
          <w:sz w:val="28"/>
          <w:szCs w:val="28"/>
          <w:u w:val="single"/>
        </w:rPr>
        <w:t>Principaux résultats :</w:t>
      </w:r>
    </w:p>
    <w:p w14:paraId="1DFBF629" w14:textId="4B752F17" w:rsidR="00520DDB" w:rsidRPr="00B65DB2" w:rsidRDefault="00520DDB" w:rsidP="00E22C1B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Un total de 1 011 patients </w:t>
      </w:r>
      <w:r w:rsidR="008370B3" w:rsidRPr="00B65DB2">
        <w:rPr>
          <w:sz w:val="28"/>
          <w:szCs w:val="28"/>
          <w:lang w:val="fr-FR"/>
        </w:rPr>
        <w:t>a</w:t>
      </w:r>
      <w:r w:rsidRPr="00B65DB2">
        <w:rPr>
          <w:sz w:val="28"/>
          <w:szCs w:val="28"/>
          <w:lang w:val="fr-FR"/>
        </w:rPr>
        <w:t xml:space="preserve"> été </w:t>
      </w:r>
      <w:proofErr w:type="spellStart"/>
      <w:r w:rsidR="008370B3" w:rsidRPr="00B65DB2">
        <w:rPr>
          <w:sz w:val="28"/>
          <w:szCs w:val="28"/>
          <w:lang w:val="fr-FR"/>
        </w:rPr>
        <w:t>inclu</w:t>
      </w:r>
      <w:proofErr w:type="spellEnd"/>
      <w:r w:rsidRPr="00B65DB2">
        <w:rPr>
          <w:sz w:val="28"/>
          <w:szCs w:val="28"/>
          <w:lang w:val="fr-FR"/>
        </w:rPr>
        <w:t xml:space="preserve"> (femmes, 53,7 % ; âge moyen [ET] : 47,5 [14,8]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ans). Au cours du suivi, 588 patients (58,2 %) ont connu un échec thérapeutique, y compris</w:t>
      </w:r>
      <w:r w:rsidR="00066215" w:rsidRPr="00B65DB2">
        <w:rPr>
          <w:sz w:val="28"/>
          <w:szCs w:val="28"/>
          <w:lang w:val="fr-FR"/>
        </w:rPr>
        <w:t xml:space="preserve"> la</w:t>
      </w:r>
      <w:r w:rsidR="00E22C1B" w:rsidRPr="00B65DB2">
        <w:rPr>
          <w:sz w:val="28"/>
          <w:szCs w:val="28"/>
          <w:lang w:val="fr-FR"/>
        </w:rPr>
        <w:t xml:space="preserve"> ré-hospitalisation</w:t>
      </w:r>
      <w:r w:rsidRPr="00B65DB2">
        <w:rPr>
          <w:sz w:val="28"/>
          <w:szCs w:val="28"/>
          <w:lang w:val="fr-FR"/>
        </w:rPr>
        <w:t xml:space="preserve"> (513 patients), </w:t>
      </w:r>
      <w:r w:rsidR="00066215" w:rsidRPr="00B65DB2">
        <w:rPr>
          <w:sz w:val="28"/>
          <w:szCs w:val="28"/>
          <w:lang w:val="fr-FR"/>
        </w:rPr>
        <w:t>l’</w:t>
      </w:r>
      <w:r w:rsidRPr="00B65DB2">
        <w:rPr>
          <w:sz w:val="28"/>
          <w:szCs w:val="28"/>
          <w:lang w:val="fr-FR"/>
        </w:rPr>
        <w:t xml:space="preserve">arrêt du traitement (17 patients), </w:t>
      </w:r>
      <w:r w:rsidR="00066215" w:rsidRPr="00B65DB2">
        <w:rPr>
          <w:sz w:val="28"/>
          <w:szCs w:val="28"/>
          <w:lang w:val="fr-FR"/>
        </w:rPr>
        <w:t xml:space="preserve">le </w:t>
      </w:r>
      <w:r w:rsidRPr="00B65DB2">
        <w:rPr>
          <w:sz w:val="28"/>
          <w:szCs w:val="28"/>
          <w:lang w:val="fr-FR"/>
        </w:rPr>
        <w:t>décès (11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patients), et poursuite de l'hospitalisation pendant un an (47 patients). </w:t>
      </w:r>
      <w:r w:rsidR="00066215" w:rsidRPr="00B65DB2">
        <w:rPr>
          <w:sz w:val="28"/>
          <w:szCs w:val="28"/>
          <w:lang w:val="fr-FR"/>
        </w:rPr>
        <w:t>Le P</w:t>
      </w:r>
      <w:r w:rsidRPr="00B65DB2">
        <w:rPr>
          <w:sz w:val="28"/>
          <w:szCs w:val="28"/>
          <w:lang w:val="fr-FR"/>
        </w:rPr>
        <w:t>ass</w:t>
      </w:r>
      <w:r w:rsidR="00066215" w:rsidRPr="00B65DB2">
        <w:rPr>
          <w:sz w:val="28"/>
          <w:szCs w:val="28"/>
          <w:lang w:val="fr-FR"/>
        </w:rPr>
        <w:t>age</w:t>
      </w:r>
      <w:r w:rsidRPr="00B65DB2">
        <w:rPr>
          <w:sz w:val="28"/>
          <w:szCs w:val="28"/>
          <w:lang w:val="fr-FR"/>
        </w:rPr>
        <w:t xml:space="preserve"> à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LAI (rapport de risque [HR] 0,810, IC à 95 % 0,659-0,996) et </w:t>
      </w:r>
      <w:r w:rsidR="00066215" w:rsidRPr="00B65DB2">
        <w:rPr>
          <w:sz w:val="28"/>
          <w:szCs w:val="28"/>
          <w:lang w:val="fr-FR"/>
        </w:rPr>
        <w:t>à l’</w:t>
      </w:r>
      <w:r w:rsidRPr="00B65DB2">
        <w:rPr>
          <w:sz w:val="28"/>
          <w:szCs w:val="28"/>
          <w:lang w:val="fr-FR"/>
        </w:rPr>
        <w:t>APEC (HR 0,829, IC à 95 %</w:t>
      </w:r>
      <w:r w:rsidR="00E22C1B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0,695-0,990) étaient significativement associés à un faible taux d'échec du traitement.</w:t>
      </w:r>
    </w:p>
    <w:p w14:paraId="32F8E57F" w14:textId="77777777" w:rsidR="00D32B4D" w:rsidRPr="00B65DB2" w:rsidRDefault="00D32B4D" w:rsidP="00E22C1B">
      <w:pPr>
        <w:rPr>
          <w:sz w:val="28"/>
          <w:szCs w:val="28"/>
          <w:lang w:val="fr-FR"/>
        </w:rPr>
      </w:pPr>
    </w:p>
    <w:p w14:paraId="489024A2" w14:textId="3F6AF366" w:rsidR="00817E95" w:rsidRPr="00B65DB2" w:rsidRDefault="00585FEC" w:rsidP="00817E95">
      <w:pPr>
        <w:rPr>
          <w:b/>
          <w:bCs/>
          <w:sz w:val="28"/>
          <w:szCs w:val="28"/>
          <w:u w:val="single"/>
          <w:lang w:val="fr-FR"/>
        </w:rPr>
      </w:pPr>
      <w:r w:rsidRPr="00B65DB2">
        <w:rPr>
          <w:b/>
          <w:bCs/>
          <w:sz w:val="28"/>
          <w:szCs w:val="28"/>
          <w:u w:val="single"/>
          <w:lang w:val="fr-FR"/>
        </w:rPr>
        <w:t>Discussion</w:t>
      </w:r>
      <w:r w:rsidR="00817E95" w:rsidRPr="00B65DB2">
        <w:rPr>
          <w:b/>
          <w:bCs/>
          <w:sz w:val="28"/>
          <w:szCs w:val="28"/>
          <w:u w:val="single"/>
          <w:lang w:val="fr-FR"/>
        </w:rPr>
        <w:t> :</w:t>
      </w:r>
    </w:p>
    <w:p w14:paraId="0B32E80C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Dans </w:t>
      </w:r>
      <w:r w:rsidR="007D0277" w:rsidRPr="00B65DB2">
        <w:rPr>
          <w:sz w:val="28"/>
          <w:szCs w:val="28"/>
          <w:lang w:val="fr-FR"/>
        </w:rPr>
        <w:t xml:space="preserve">la présente </w:t>
      </w:r>
      <w:r w:rsidR="00D32B4D" w:rsidRPr="00B65DB2">
        <w:rPr>
          <w:sz w:val="28"/>
          <w:szCs w:val="28"/>
          <w:lang w:val="fr-FR"/>
        </w:rPr>
        <w:t>étude</w:t>
      </w:r>
      <w:r w:rsidRPr="00B65DB2">
        <w:rPr>
          <w:sz w:val="28"/>
          <w:szCs w:val="28"/>
          <w:lang w:val="fr-FR"/>
        </w:rPr>
        <w:t>, le passage aux LAI et l'APEC à la sortie étaient associés à l'échec du traitement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(HR 0,810, IC à 95 % 0,659-0,996 et 0,829, 0,695-0,990, respectivement), mais </w:t>
      </w:r>
      <w:r w:rsidR="007D0277" w:rsidRPr="00B65DB2">
        <w:rPr>
          <w:sz w:val="28"/>
          <w:szCs w:val="28"/>
          <w:lang w:val="fr-FR"/>
        </w:rPr>
        <w:t>le passage</w:t>
      </w:r>
      <w:r w:rsidRPr="00B65DB2">
        <w:rPr>
          <w:sz w:val="28"/>
          <w:szCs w:val="28"/>
          <w:lang w:val="fr-FR"/>
        </w:rPr>
        <w:t xml:space="preserve"> à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la </w:t>
      </w:r>
      <w:proofErr w:type="spellStart"/>
      <w:r w:rsidRPr="00B65DB2">
        <w:rPr>
          <w:sz w:val="28"/>
          <w:szCs w:val="28"/>
          <w:lang w:val="fr-FR"/>
        </w:rPr>
        <w:t>clo</w:t>
      </w:r>
      <w:r w:rsidR="00B65DB2">
        <w:rPr>
          <w:sz w:val="28"/>
          <w:szCs w:val="28"/>
          <w:lang w:val="fr-FR"/>
        </w:rPr>
        <w:t>zapine</w:t>
      </w:r>
      <w:proofErr w:type="spellEnd"/>
      <w:r w:rsidR="00B65DB2">
        <w:rPr>
          <w:sz w:val="28"/>
          <w:szCs w:val="28"/>
          <w:lang w:val="fr-FR"/>
        </w:rPr>
        <w:t xml:space="preserve"> ne l'était pas</w:t>
      </w:r>
      <w:r w:rsidRPr="00B65DB2">
        <w:rPr>
          <w:sz w:val="28"/>
          <w:szCs w:val="28"/>
          <w:lang w:val="fr-FR"/>
        </w:rPr>
        <w:t>.</w:t>
      </w:r>
    </w:p>
    <w:p w14:paraId="10CA148D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 Ces résultats suggèrent que le risque d'échec du traitement est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environ 19 % de moins chez les patients avec des traitements LAI par rapport aux patients sans eux et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environ 17 % de moins chez les patients </w:t>
      </w:r>
      <w:r w:rsidR="00D32B4D" w:rsidRPr="00B65DB2">
        <w:rPr>
          <w:sz w:val="28"/>
          <w:szCs w:val="28"/>
          <w:lang w:val="fr-FR"/>
        </w:rPr>
        <w:t>sous</w:t>
      </w:r>
      <w:r w:rsidRPr="00B65DB2">
        <w:rPr>
          <w:sz w:val="28"/>
          <w:szCs w:val="28"/>
          <w:lang w:val="fr-FR"/>
        </w:rPr>
        <w:t xml:space="preserve"> APEC par rapport aux patients sans APEC.</w:t>
      </w:r>
    </w:p>
    <w:p w14:paraId="5AB2B0D3" w14:textId="33832C08" w:rsidR="0042216A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 Ainsi, l</w:t>
      </w:r>
      <w:r w:rsidR="00D32B4D" w:rsidRPr="00B65DB2">
        <w:rPr>
          <w:sz w:val="28"/>
          <w:szCs w:val="28"/>
          <w:lang w:val="fr-FR"/>
        </w:rPr>
        <w:t>’</w:t>
      </w:r>
      <w:r w:rsidRPr="00B65DB2">
        <w:rPr>
          <w:sz w:val="28"/>
          <w:szCs w:val="28"/>
          <w:lang w:val="fr-FR"/>
        </w:rPr>
        <w:t>efficacité réelle des traitements antipsychotiques tels que le passage aux LAI et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L'APEC pour les patients d'urgence psychiatrique atteints de schizophrénie semble évident</w:t>
      </w:r>
      <w:r w:rsidR="00D32B4D" w:rsidRPr="00B65DB2">
        <w:rPr>
          <w:sz w:val="28"/>
          <w:szCs w:val="28"/>
          <w:lang w:val="fr-FR"/>
        </w:rPr>
        <w:t>e</w:t>
      </w:r>
      <w:r w:rsidRPr="00B65DB2">
        <w:rPr>
          <w:sz w:val="28"/>
          <w:szCs w:val="28"/>
          <w:lang w:val="fr-FR"/>
        </w:rPr>
        <w:t>.</w:t>
      </w:r>
    </w:p>
    <w:p w14:paraId="4A3CFB55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La conclusion actuelle selon laquelle le passage aux LAI a entraîné un risque significativement plus faible de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l'échec du traitement est cohérent</w:t>
      </w:r>
      <w:r w:rsidR="00534004" w:rsidRPr="00B65DB2">
        <w:rPr>
          <w:sz w:val="28"/>
          <w:szCs w:val="28"/>
          <w:lang w:val="fr-FR"/>
        </w:rPr>
        <w:t>e</w:t>
      </w:r>
      <w:r w:rsidRPr="00B65DB2">
        <w:rPr>
          <w:sz w:val="28"/>
          <w:szCs w:val="28"/>
          <w:lang w:val="fr-FR"/>
        </w:rPr>
        <w:t xml:space="preserve"> avec les résultats rapportés à l'échelle nationale</w:t>
      </w:r>
      <w:r w:rsidR="00C464AC" w:rsidRPr="00B65DB2">
        <w:rPr>
          <w:sz w:val="28"/>
          <w:szCs w:val="28"/>
          <w:lang w:val="fr-FR"/>
        </w:rPr>
        <w:t xml:space="preserve"> de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bases de données en Suède </w:t>
      </w:r>
      <w:r w:rsidR="00534004" w:rsidRPr="00B65DB2">
        <w:rPr>
          <w:sz w:val="28"/>
          <w:szCs w:val="28"/>
          <w:lang w:val="fr-FR"/>
        </w:rPr>
        <w:t xml:space="preserve">selon </w:t>
      </w:r>
      <w:proofErr w:type="spellStart"/>
      <w:r w:rsidRPr="00B65DB2">
        <w:rPr>
          <w:sz w:val="28"/>
          <w:szCs w:val="28"/>
          <w:lang w:val="fr-FR"/>
        </w:rPr>
        <w:t>Tiihonen</w:t>
      </w:r>
      <w:proofErr w:type="spellEnd"/>
      <w:r w:rsidRPr="00B65DB2">
        <w:rPr>
          <w:sz w:val="28"/>
          <w:szCs w:val="28"/>
          <w:lang w:val="fr-FR"/>
        </w:rPr>
        <w:t xml:space="preserve"> et al. </w:t>
      </w:r>
    </w:p>
    <w:p w14:paraId="557A6369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lastRenderedPageBreak/>
        <w:t xml:space="preserve">Dans une récente méta-analyse </w:t>
      </w:r>
      <w:r w:rsidR="00CA3120" w:rsidRPr="00B65DB2">
        <w:rPr>
          <w:sz w:val="28"/>
          <w:szCs w:val="28"/>
          <w:lang w:val="fr-FR"/>
        </w:rPr>
        <w:t xml:space="preserve">menée par </w:t>
      </w:r>
      <w:proofErr w:type="spellStart"/>
      <w:r w:rsidR="00CA3120" w:rsidRPr="00B65DB2">
        <w:rPr>
          <w:sz w:val="28"/>
          <w:szCs w:val="28"/>
          <w:lang w:val="fr-FR"/>
        </w:rPr>
        <w:t>Kishimoto</w:t>
      </w:r>
      <w:proofErr w:type="spellEnd"/>
      <w:r w:rsidR="00CA3120" w:rsidRPr="00B65DB2">
        <w:rPr>
          <w:sz w:val="28"/>
          <w:szCs w:val="28"/>
          <w:lang w:val="fr-FR"/>
        </w:rPr>
        <w:t xml:space="preserve"> et al, traitant </w:t>
      </w:r>
      <w:r w:rsidRPr="00B65DB2">
        <w:rPr>
          <w:sz w:val="28"/>
          <w:szCs w:val="28"/>
          <w:lang w:val="fr-FR"/>
        </w:rPr>
        <w:t>des ECR</w:t>
      </w:r>
      <w:r w:rsidR="00CA3120" w:rsidRPr="00B65DB2">
        <w:rPr>
          <w:sz w:val="28"/>
          <w:szCs w:val="28"/>
          <w:lang w:val="fr-FR"/>
        </w:rPr>
        <w:t xml:space="preserve"> et</w:t>
      </w:r>
      <w:r w:rsidR="00817E95" w:rsidRPr="00B65DB2">
        <w:rPr>
          <w:sz w:val="28"/>
          <w:szCs w:val="28"/>
          <w:lang w:val="fr-FR"/>
        </w:rPr>
        <w:t xml:space="preserve"> </w:t>
      </w:r>
      <w:r w:rsidR="00534004" w:rsidRPr="00B65DB2">
        <w:rPr>
          <w:sz w:val="28"/>
          <w:szCs w:val="28"/>
          <w:lang w:val="fr-FR"/>
        </w:rPr>
        <w:t xml:space="preserve">des </w:t>
      </w:r>
      <w:r w:rsidRPr="00B65DB2">
        <w:rPr>
          <w:sz w:val="28"/>
          <w:szCs w:val="28"/>
          <w:lang w:val="fr-FR"/>
        </w:rPr>
        <w:t>études de cohorte,</w:t>
      </w:r>
      <w:r w:rsidR="00CA3120" w:rsidRPr="00B65DB2">
        <w:rPr>
          <w:sz w:val="28"/>
          <w:szCs w:val="28"/>
          <w:lang w:val="fr-FR"/>
        </w:rPr>
        <w:t xml:space="preserve"> un</w:t>
      </w:r>
      <w:r w:rsidRPr="00B65DB2">
        <w:rPr>
          <w:sz w:val="28"/>
          <w:szCs w:val="28"/>
          <w:lang w:val="fr-FR"/>
        </w:rPr>
        <w:t xml:space="preserve"> avantage significatif des LAI par rapport à la voie orale</w:t>
      </w:r>
      <w:r w:rsidR="00817E95" w:rsidRPr="00B65DB2">
        <w:rPr>
          <w:sz w:val="28"/>
          <w:szCs w:val="28"/>
          <w:lang w:val="fr-FR"/>
        </w:rPr>
        <w:t xml:space="preserve"> </w:t>
      </w:r>
      <w:r w:rsidR="00CA3120" w:rsidRPr="00B65DB2">
        <w:rPr>
          <w:sz w:val="28"/>
          <w:szCs w:val="28"/>
          <w:lang w:val="fr-FR"/>
        </w:rPr>
        <w:t xml:space="preserve">a été signalé </w:t>
      </w:r>
      <w:r w:rsidRPr="00B65DB2">
        <w:rPr>
          <w:sz w:val="28"/>
          <w:szCs w:val="28"/>
          <w:lang w:val="fr-FR"/>
        </w:rPr>
        <w:t>dans la prévention des hospitalisations ou des rechutes</w:t>
      </w:r>
      <w:r w:rsidR="00CA3120" w:rsidRPr="00B65DB2">
        <w:rPr>
          <w:sz w:val="28"/>
          <w:szCs w:val="28"/>
          <w:lang w:val="fr-FR"/>
        </w:rPr>
        <w:t>.</w:t>
      </w:r>
      <w:r w:rsidRPr="00B65DB2">
        <w:rPr>
          <w:sz w:val="28"/>
          <w:szCs w:val="28"/>
          <w:lang w:val="fr-FR"/>
        </w:rPr>
        <w:t xml:space="preserve"> </w:t>
      </w:r>
    </w:p>
    <w:p w14:paraId="2EAEF795" w14:textId="53448B09" w:rsidR="0042216A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La présente étude a montré un avantage significatif des LAI même dans les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patients hospitalisés atteints de schizophrénie, </w:t>
      </w:r>
      <w:r w:rsidR="00CA3120" w:rsidRPr="00B65DB2">
        <w:rPr>
          <w:sz w:val="28"/>
          <w:szCs w:val="28"/>
          <w:lang w:val="fr-FR"/>
        </w:rPr>
        <w:t>et ceci</w:t>
      </w:r>
      <w:r w:rsidR="00C77EB6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n'a jamais été étudié.</w:t>
      </w:r>
    </w:p>
    <w:p w14:paraId="50D6D592" w14:textId="431EE5AE" w:rsidR="0042216A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Une autre découverte actuelle est que l'APEC a entraîné un risque significativement plus faible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d'échec thérapeutique.</w:t>
      </w:r>
      <w:r w:rsidR="00C77EB6" w:rsidRPr="00B65DB2">
        <w:rPr>
          <w:sz w:val="28"/>
          <w:szCs w:val="28"/>
          <w:lang w:val="fr-FR"/>
        </w:rPr>
        <w:t xml:space="preserve"> </w:t>
      </w:r>
      <w:r w:rsidR="001C4663" w:rsidRPr="00B65DB2">
        <w:rPr>
          <w:sz w:val="28"/>
          <w:szCs w:val="28"/>
          <w:lang w:val="fr-FR"/>
        </w:rPr>
        <w:t>Hatta et al</w:t>
      </w:r>
      <w:r w:rsidR="00C77EB6" w:rsidRPr="00B65DB2">
        <w:rPr>
          <w:sz w:val="28"/>
          <w:szCs w:val="28"/>
          <w:lang w:val="fr-FR"/>
        </w:rPr>
        <w:t xml:space="preserve"> ont</w:t>
      </w:r>
      <w:r w:rsidRPr="00B65DB2">
        <w:rPr>
          <w:sz w:val="28"/>
          <w:szCs w:val="28"/>
          <w:lang w:val="fr-FR"/>
        </w:rPr>
        <w:t xml:space="preserve"> déjà signalé un léger avantage de l'ajout de </w:t>
      </w:r>
      <w:r w:rsidR="00C77EB6" w:rsidRPr="00B65DB2">
        <w:rPr>
          <w:sz w:val="28"/>
          <w:szCs w:val="28"/>
          <w:lang w:val="fr-FR"/>
        </w:rPr>
        <w:t xml:space="preserve">la </w:t>
      </w:r>
      <w:r w:rsidRPr="00B65DB2">
        <w:rPr>
          <w:sz w:val="28"/>
          <w:szCs w:val="28"/>
          <w:lang w:val="fr-FR"/>
        </w:rPr>
        <w:t>rispéridone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chez les patients schizophrènes hospitalisés en phase aiguë avec une non-réponse précoce à l'olanzapine dans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un ECR. </w:t>
      </w:r>
    </w:p>
    <w:p w14:paraId="3B9A8994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La raison du petit nombre de prescriptions de clozapine doit être discutée. </w:t>
      </w:r>
      <w:r w:rsidR="00DE1420" w:rsidRPr="00B65DB2">
        <w:rPr>
          <w:sz w:val="28"/>
          <w:szCs w:val="28"/>
          <w:lang w:val="fr-FR"/>
        </w:rPr>
        <w:t>On</w:t>
      </w:r>
      <w:r w:rsidR="00817E95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>ne peut prescrire la clozapine qu'aux patients qui ne répondent pas à au moins deux types d</w:t>
      </w:r>
      <w:r w:rsidR="00DE1420" w:rsidRPr="00B65DB2">
        <w:rPr>
          <w:sz w:val="28"/>
          <w:szCs w:val="28"/>
          <w:lang w:val="fr-FR"/>
        </w:rPr>
        <w:t>’</w:t>
      </w:r>
      <w:r w:rsidRPr="00B65DB2">
        <w:rPr>
          <w:sz w:val="28"/>
          <w:szCs w:val="28"/>
          <w:lang w:val="fr-FR"/>
        </w:rPr>
        <w:t>antipsychotiques administrés pendant quatre semaines chacun. Cependant, les patients de la présente étude</w:t>
      </w:r>
      <w:r w:rsidR="00817E95" w:rsidRPr="00B65DB2">
        <w:rPr>
          <w:sz w:val="28"/>
          <w:szCs w:val="28"/>
        </w:rPr>
        <w:t xml:space="preserve"> </w:t>
      </w:r>
      <w:r w:rsidRPr="00B65DB2">
        <w:rPr>
          <w:sz w:val="28"/>
          <w:szCs w:val="28"/>
          <w:lang w:val="fr-FR"/>
        </w:rPr>
        <w:t>ont été admis dans des hôpitaux psychiatriques d'urgence en raison d'un début aigu ou</w:t>
      </w:r>
      <w:r w:rsidR="00817E95" w:rsidRPr="00B65DB2">
        <w:rPr>
          <w:sz w:val="28"/>
          <w:szCs w:val="28"/>
          <w:lang w:val="fr-FR"/>
        </w:rPr>
        <w:t xml:space="preserve"> </w:t>
      </w:r>
      <w:r w:rsidR="00B65DB2">
        <w:rPr>
          <w:sz w:val="28"/>
          <w:szCs w:val="28"/>
          <w:lang w:val="fr-FR"/>
        </w:rPr>
        <w:t xml:space="preserve">en </w:t>
      </w:r>
      <w:r w:rsidRPr="00B65DB2">
        <w:rPr>
          <w:sz w:val="28"/>
          <w:szCs w:val="28"/>
          <w:lang w:val="fr-FR"/>
        </w:rPr>
        <w:t xml:space="preserve">exacerbation. Dans un tel contexte clinique, la clozapine n'était pas prioritaire. </w:t>
      </w:r>
    </w:p>
    <w:p w14:paraId="0EE208D8" w14:textId="77777777" w:rsid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La raison d</w:t>
      </w:r>
      <w:r w:rsidR="00DE1420" w:rsidRPr="00B65DB2">
        <w:rPr>
          <w:sz w:val="28"/>
          <w:szCs w:val="28"/>
          <w:lang w:val="fr-FR"/>
        </w:rPr>
        <w:t>u</w:t>
      </w:r>
      <w:r w:rsidRPr="00B65DB2">
        <w:rPr>
          <w:sz w:val="28"/>
          <w:szCs w:val="28"/>
          <w:lang w:val="fr-FR"/>
        </w:rPr>
        <w:t xml:space="preserve"> petit nombre de personnes sous clozapine peut être </w:t>
      </w:r>
      <w:r w:rsidR="001C7A5C" w:rsidRPr="00B65DB2">
        <w:rPr>
          <w:sz w:val="28"/>
          <w:szCs w:val="28"/>
          <w:lang w:val="fr-FR"/>
        </w:rPr>
        <w:t>due</w:t>
      </w:r>
      <w:r w:rsidRPr="00B65DB2">
        <w:rPr>
          <w:sz w:val="28"/>
          <w:szCs w:val="28"/>
          <w:lang w:val="fr-FR"/>
        </w:rPr>
        <w:t xml:space="preserve"> aux règles japonaises strictes, comme la nécessité d'un contrat de coopération avec le service d'hématologie, </w:t>
      </w:r>
      <w:r w:rsidR="00B65DB2">
        <w:rPr>
          <w:sz w:val="28"/>
          <w:szCs w:val="28"/>
          <w:lang w:val="fr-FR"/>
        </w:rPr>
        <w:t>s</w:t>
      </w:r>
      <w:r w:rsidRPr="00B65DB2">
        <w:rPr>
          <w:sz w:val="28"/>
          <w:szCs w:val="28"/>
          <w:lang w:val="fr-FR"/>
        </w:rPr>
        <w:t xml:space="preserve">éjour à l'hôpital de 18 semaines pour instauration de la clozapine, et analyses de sang et de </w:t>
      </w:r>
      <w:r w:rsidR="001C7A5C" w:rsidRPr="00B65DB2">
        <w:rPr>
          <w:sz w:val="28"/>
          <w:szCs w:val="28"/>
          <w:lang w:val="fr-FR"/>
        </w:rPr>
        <w:t>bio</w:t>
      </w:r>
      <w:r w:rsidRPr="00B65DB2">
        <w:rPr>
          <w:sz w:val="28"/>
          <w:szCs w:val="28"/>
          <w:lang w:val="fr-FR"/>
        </w:rPr>
        <w:t xml:space="preserve">chimie chaque semaine jusqu'à 26 semaines après l'initiation. </w:t>
      </w:r>
    </w:p>
    <w:p w14:paraId="4DAE9068" w14:textId="1079F215" w:rsidR="004E53B8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Par conséquent, la prévalence de l'utilisation de la clozapine était la plus ba</w:t>
      </w:r>
      <w:r w:rsidR="001C7A5C" w:rsidRPr="00B65DB2">
        <w:rPr>
          <w:sz w:val="28"/>
          <w:szCs w:val="28"/>
          <w:lang w:val="fr-FR"/>
        </w:rPr>
        <w:t>s</w:t>
      </w:r>
      <w:r w:rsidRPr="00B65DB2">
        <w:rPr>
          <w:sz w:val="28"/>
          <w:szCs w:val="28"/>
          <w:lang w:val="fr-FR"/>
        </w:rPr>
        <w:t>s</w:t>
      </w:r>
      <w:r w:rsidR="001C7A5C" w:rsidRPr="00B65DB2">
        <w:rPr>
          <w:sz w:val="28"/>
          <w:szCs w:val="28"/>
          <w:lang w:val="fr-FR"/>
        </w:rPr>
        <w:t>e</w:t>
      </w:r>
      <w:r w:rsidRPr="00B65DB2">
        <w:rPr>
          <w:sz w:val="28"/>
          <w:szCs w:val="28"/>
          <w:lang w:val="fr-FR"/>
        </w:rPr>
        <w:t xml:space="preserve"> dans la cohorte japonaise (0,6/100 000) en 2014. Bien que la pandémie aurait pu avoir un impact sur les schémas de prescription des antipsychotiques et une préférence plus faible pour la clozapine, </w:t>
      </w:r>
      <w:r w:rsidR="001C7A5C" w:rsidRPr="00B65DB2">
        <w:rPr>
          <w:sz w:val="28"/>
          <w:szCs w:val="28"/>
          <w:lang w:val="fr-FR"/>
        </w:rPr>
        <w:t xml:space="preserve">elle </w:t>
      </w:r>
      <w:r w:rsidRPr="00B65DB2">
        <w:rPr>
          <w:sz w:val="28"/>
          <w:szCs w:val="28"/>
          <w:lang w:val="fr-FR"/>
        </w:rPr>
        <w:t xml:space="preserve">aurait pu être beaucoup plus faible que l'impact des règles strictes. </w:t>
      </w:r>
    </w:p>
    <w:p w14:paraId="6D3DD3DC" w14:textId="5460A104" w:rsidR="00C464AC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Comme pour les associations spécifiques d'antipsychotiques, seule l'association </w:t>
      </w:r>
      <w:proofErr w:type="spellStart"/>
      <w:r w:rsidRPr="00B65DB2">
        <w:rPr>
          <w:sz w:val="28"/>
          <w:szCs w:val="28"/>
          <w:lang w:val="fr-FR"/>
        </w:rPr>
        <w:t>olanzapine</w:t>
      </w:r>
      <w:proofErr w:type="spellEnd"/>
      <w:r w:rsidRPr="00B65DB2">
        <w:rPr>
          <w:sz w:val="28"/>
          <w:szCs w:val="28"/>
          <w:lang w:val="fr-FR"/>
        </w:rPr>
        <w:t xml:space="preserve"> et </w:t>
      </w:r>
      <w:proofErr w:type="spellStart"/>
      <w:r w:rsidRPr="00B65DB2">
        <w:rPr>
          <w:sz w:val="28"/>
          <w:szCs w:val="28"/>
          <w:lang w:val="fr-FR"/>
        </w:rPr>
        <w:t>palipéridone</w:t>
      </w:r>
      <w:proofErr w:type="spellEnd"/>
      <w:r w:rsidRPr="00B65DB2">
        <w:rPr>
          <w:sz w:val="28"/>
          <w:szCs w:val="28"/>
          <w:lang w:val="fr-FR"/>
        </w:rPr>
        <w:t xml:space="preserve"> était significativement associée à un risque d'échec thérapeutique plus faible que</w:t>
      </w:r>
      <w:r w:rsidR="004E53B8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monothérapie (HR 0,515, IC à 95 % 0,290-0,917, tableau 3). Ce résultat suggère que le risque d'échec du traitement est inférieur d'environ 48 % chez les patients recevant l'association par rapport à aux patients sous monothérapie. Près de la moitié des patients avec la combinaison ont reçu de la </w:t>
      </w:r>
      <w:proofErr w:type="spellStart"/>
      <w:r w:rsidRPr="00B65DB2">
        <w:rPr>
          <w:sz w:val="28"/>
          <w:szCs w:val="28"/>
          <w:lang w:val="fr-FR"/>
        </w:rPr>
        <w:t>palipéridone</w:t>
      </w:r>
      <w:proofErr w:type="spellEnd"/>
      <w:r w:rsidRPr="00B65DB2">
        <w:rPr>
          <w:sz w:val="28"/>
          <w:szCs w:val="28"/>
          <w:lang w:val="fr-FR"/>
        </w:rPr>
        <w:t xml:space="preserve">, suggérant à nouveau le bénéfice des LAI. </w:t>
      </w:r>
    </w:p>
    <w:p w14:paraId="1A0E0068" w14:textId="77777777" w:rsidR="00B65DB2" w:rsidRDefault="00C464AC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lastRenderedPageBreak/>
        <w:t>La combinaison de</w:t>
      </w:r>
      <w:r w:rsidR="0042216A" w:rsidRPr="00B65DB2">
        <w:rPr>
          <w:sz w:val="28"/>
          <w:szCs w:val="28"/>
          <w:lang w:val="fr-FR"/>
        </w:rPr>
        <w:t xml:space="preserve"> l'</w:t>
      </w:r>
      <w:proofErr w:type="spellStart"/>
      <w:r w:rsidR="0042216A" w:rsidRPr="00B65DB2">
        <w:rPr>
          <w:sz w:val="28"/>
          <w:szCs w:val="28"/>
          <w:lang w:val="fr-FR"/>
        </w:rPr>
        <w:t>aripiprazole</w:t>
      </w:r>
      <w:proofErr w:type="spellEnd"/>
      <w:r w:rsidR="0042216A" w:rsidRPr="00B65DB2">
        <w:rPr>
          <w:sz w:val="28"/>
          <w:szCs w:val="28"/>
          <w:lang w:val="fr-FR"/>
        </w:rPr>
        <w:t xml:space="preserve"> et la </w:t>
      </w:r>
      <w:proofErr w:type="spellStart"/>
      <w:r w:rsidR="0042216A" w:rsidRPr="00B65DB2">
        <w:rPr>
          <w:sz w:val="28"/>
          <w:szCs w:val="28"/>
          <w:lang w:val="fr-FR"/>
        </w:rPr>
        <w:t>clozapine</w:t>
      </w:r>
      <w:proofErr w:type="spellEnd"/>
      <w:r w:rsidR="0042216A" w:rsidRPr="00B65DB2">
        <w:rPr>
          <w:sz w:val="28"/>
          <w:szCs w:val="28"/>
          <w:lang w:val="fr-FR"/>
        </w:rPr>
        <w:t xml:space="preserve"> auraient été associés au plus faible risque de </w:t>
      </w:r>
      <w:proofErr w:type="spellStart"/>
      <w:r w:rsidR="0042216A" w:rsidRPr="00B65DB2">
        <w:rPr>
          <w:sz w:val="28"/>
          <w:szCs w:val="28"/>
          <w:lang w:val="fr-FR"/>
        </w:rPr>
        <w:t>réhospitalisation</w:t>
      </w:r>
      <w:proofErr w:type="spellEnd"/>
      <w:r w:rsidRPr="00B65DB2">
        <w:rPr>
          <w:sz w:val="28"/>
          <w:szCs w:val="28"/>
          <w:lang w:val="fr-FR"/>
        </w:rPr>
        <w:t xml:space="preserve"> selon </w:t>
      </w:r>
      <w:proofErr w:type="spellStart"/>
      <w:r w:rsidR="0042216A" w:rsidRPr="00B65DB2">
        <w:rPr>
          <w:sz w:val="28"/>
          <w:szCs w:val="28"/>
          <w:lang w:val="fr-FR"/>
        </w:rPr>
        <w:t>Tiihonen</w:t>
      </w:r>
      <w:proofErr w:type="spellEnd"/>
      <w:r w:rsidR="0042216A" w:rsidRPr="00B65DB2">
        <w:rPr>
          <w:sz w:val="28"/>
          <w:szCs w:val="28"/>
          <w:lang w:val="fr-FR"/>
        </w:rPr>
        <w:t xml:space="preserve"> et al, mais </w:t>
      </w:r>
      <w:r w:rsidR="00587310" w:rsidRPr="00B65DB2">
        <w:rPr>
          <w:sz w:val="28"/>
          <w:szCs w:val="28"/>
          <w:lang w:val="fr-FR"/>
        </w:rPr>
        <w:t>l’association de n’importe quel</w:t>
      </w:r>
      <w:r w:rsidR="0042216A" w:rsidRPr="00B65DB2">
        <w:rPr>
          <w:sz w:val="28"/>
          <w:szCs w:val="28"/>
          <w:lang w:val="fr-FR"/>
        </w:rPr>
        <w:t xml:space="preserve"> antipsychotique avec la clozapine n'est pas autorisée au Japon. </w:t>
      </w:r>
    </w:p>
    <w:p w14:paraId="12840448" w14:textId="2632431D" w:rsidR="00211CDF" w:rsidRPr="00B65DB2" w:rsidRDefault="0042216A" w:rsidP="00817E95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 xml:space="preserve">Dans la présente étude, il y avait une tendance à </w:t>
      </w:r>
      <w:r w:rsidR="00587310" w:rsidRPr="00B65DB2">
        <w:rPr>
          <w:sz w:val="28"/>
          <w:szCs w:val="28"/>
          <w:lang w:val="fr-FR"/>
        </w:rPr>
        <w:t>faire le lien</w:t>
      </w:r>
      <w:r w:rsidRPr="00B65DB2">
        <w:rPr>
          <w:sz w:val="28"/>
          <w:szCs w:val="28"/>
          <w:lang w:val="fr-FR"/>
        </w:rPr>
        <w:t xml:space="preserve"> </w:t>
      </w:r>
      <w:r w:rsidR="00587310" w:rsidRPr="00B65DB2">
        <w:rPr>
          <w:sz w:val="28"/>
          <w:szCs w:val="28"/>
          <w:lang w:val="fr-FR"/>
        </w:rPr>
        <w:t xml:space="preserve">entre </w:t>
      </w:r>
      <w:r w:rsidRPr="00B65DB2">
        <w:rPr>
          <w:sz w:val="28"/>
          <w:szCs w:val="28"/>
          <w:lang w:val="fr-FR"/>
        </w:rPr>
        <w:t>l</w:t>
      </w:r>
      <w:r w:rsidR="00587310" w:rsidRPr="00B65DB2">
        <w:rPr>
          <w:sz w:val="28"/>
          <w:szCs w:val="28"/>
          <w:lang w:val="fr-FR"/>
        </w:rPr>
        <w:t>a combinaison de l’</w:t>
      </w:r>
      <w:r w:rsidRPr="00B65DB2">
        <w:rPr>
          <w:sz w:val="28"/>
          <w:szCs w:val="28"/>
          <w:lang w:val="fr-FR"/>
        </w:rPr>
        <w:t xml:space="preserve">olanzapine et </w:t>
      </w:r>
      <w:r w:rsidR="00587310" w:rsidRPr="00B65DB2">
        <w:rPr>
          <w:sz w:val="28"/>
          <w:szCs w:val="28"/>
          <w:lang w:val="fr-FR"/>
        </w:rPr>
        <w:t xml:space="preserve">la </w:t>
      </w:r>
      <w:r w:rsidRPr="00B65DB2">
        <w:rPr>
          <w:sz w:val="28"/>
          <w:szCs w:val="28"/>
          <w:lang w:val="fr-FR"/>
        </w:rPr>
        <w:t xml:space="preserve">rispéridone </w:t>
      </w:r>
      <w:r w:rsidR="00587310" w:rsidRPr="00B65DB2">
        <w:rPr>
          <w:sz w:val="28"/>
          <w:szCs w:val="28"/>
          <w:lang w:val="fr-FR"/>
        </w:rPr>
        <w:t>à</w:t>
      </w:r>
      <w:r w:rsidRPr="00B65DB2">
        <w:rPr>
          <w:sz w:val="28"/>
          <w:szCs w:val="28"/>
          <w:lang w:val="fr-FR"/>
        </w:rPr>
        <w:t xml:space="preserve"> un faible risque d</w:t>
      </w:r>
      <w:r w:rsidR="00587310" w:rsidRPr="00B65DB2">
        <w:rPr>
          <w:sz w:val="28"/>
          <w:szCs w:val="28"/>
          <w:lang w:val="fr-FR"/>
        </w:rPr>
        <w:t>’</w:t>
      </w:r>
      <w:r w:rsidRPr="00B65DB2">
        <w:rPr>
          <w:sz w:val="28"/>
          <w:szCs w:val="28"/>
          <w:lang w:val="fr-FR"/>
        </w:rPr>
        <w:t xml:space="preserve">échec thérapeutique par rapport à la monothérapie. A partir des conclusions de bases de données nationales, la combinaison de la rispéridone et de l'olanzapine aurait été associée avec un risque de </w:t>
      </w:r>
      <w:proofErr w:type="spellStart"/>
      <w:r w:rsidRPr="00B65DB2">
        <w:rPr>
          <w:sz w:val="28"/>
          <w:szCs w:val="28"/>
          <w:lang w:val="fr-FR"/>
        </w:rPr>
        <w:t>réhospitalisation</w:t>
      </w:r>
      <w:proofErr w:type="spellEnd"/>
      <w:r w:rsidRPr="00B65DB2">
        <w:rPr>
          <w:sz w:val="28"/>
          <w:szCs w:val="28"/>
          <w:lang w:val="fr-FR"/>
        </w:rPr>
        <w:t xml:space="preserve"> plus faible que la monothérapie. Un</w:t>
      </w:r>
      <w:r w:rsidR="00313A45" w:rsidRPr="00B65DB2">
        <w:rPr>
          <w:sz w:val="28"/>
          <w:szCs w:val="28"/>
          <w:lang w:val="fr-FR"/>
        </w:rPr>
        <w:t>e</w:t>
      </w:r>
      <w:r w:rsidRPr="00B65DB2">
        <w:rPr>
          <w:sz w:val="28"/>
          <w:szCs w:val="28"/>
          <w:lang w:val="fr-FR"/>
        </w:rPr>
        <w:t xml:space="preserve"> similaire conclusion aurait pu être obtenue dans la présente étude s'il y avait eu plus de cas. </w:t>
      </w:r>
    </w:p>
    <w:p w14:paraId="5FF275E7" w14:textId="0C0B22A6" w:rsidR="0042216A" w:rsidRPr="00B65DB2" w:rsidRDefault="00211CDF" w:rsidP="00E759D0">
      <w:pPr>
        <w:rPr>
          <w:sz w:val="28"/>
          <w:szCs w:val="28"/>
          <w:lang w:val="fr-FR"/>
        </w:rPr>
      </w:pPr>
      <w:r w:rsidRPr="00B65DB2">
        <w:rPr>
          <w:sz w:val="28"/>
          <w:szCs w:val="28"/>
          <w:lang w:val="fr-FR"/>
        </w:rPr>
        <w:t>Il y’avait aussi</w:t>
      </w:r>
      <w:r w:rsidR="0042216A" w:rsidRPr="00B65DB2">
        <w:rPr>
          <w:sz w:val="28"/>
          <w:szCs w:val="28"/>
          <w:lang w:val="fr-FR"/>
        </w:rPr>
        <w:t xml:space="preserve"> une tendance à </w:t>
      </w:r>
      <w:r w:rsidRPr="00B65DB2">
        <w:rPr>
          <w:sz w:val="28"/>
          <w:szCs w:val="28"/>
          <w:lang w:val="fr-FR"/>
        </w:rPr>
        <w:t>faire le lien</w:t>
      </w:r>
      <w:r w:rsidR="0042216A" w:rsidRPr="00B65DB2">
        <w:rPr>
          <w:sz w:val="28"/>
          <w:szCs w:val="28"/>
          <w:lang w:val="fr-FR"/>
        </w:rPr>
        <w:t xml:space="preserve"> entre l</w:t>
      </w:r>
      <w:r w:rsidRPr="00B65DB2">
        <w:rPr>
          <w:sz w:val="28"/>
          <w:szCs w:val="28"/>
          <w:lang w:val="fr-FR"/>
        </w:rPr>
        <w:t>’association</w:t>
      </w:r>
      <w:r w:rsidR="0042216A" w:rsidRPr="00B65DB2">
        <w:rPr>
          <w:sz w:val="28"/>
          <w:szCs w:val="28"/>
          <w:lang w:val="fr-FR"/>
        </w:rPr>
        <w:t xml:space="preserve"> d'</w:t>
      </w:r>
      <w:proofErr w:type="spellStart"/>
      <w:r w:rsidR="0042216A" w:rsidRPr="00B65DB2">
        <w:rPr>
          <w:sz w:val="28"/>
          <w:szCs w:val="28"/>
          <w:lang w:val="fr-FR"/>
        </w:rPr>
        <w:t>aripiprazole</w:t>
      </w:r>
      <w:proofErr w:type="spellEnd"/>
      <w:r w:rsidR="0042216A" w:rsidRPr="00B65DB2">
        <w:rPr>
          <w:sz w:val="28"/>
          <w:szCs w:val="28"/>
          <w:lang w:val="fr-FR"/>
        </w:rPr>
        <w:t xml:space="preserve"> et </w:t>
      </w:r>
      <w:r w:rsidRPr="00B65DB2">
        <w:rPr>
          <w:sz w:val="28"/>
          <w:szCs w:val="28"/>
          <w:lang w:val="fr-FR"/>
        </w:rPr>
        <w:t xml:space="preserve">de </w:t>
      </w:r>
      <w:proofErr w:type="spellStart"/>
      <w:r w:rsidR="0042216A" w:rsidRPr="00B65DB2">
        <w:rPr>
          <w:sz w:val="28"/>
          <w:szCs w:val="28"/>
          <w:lang w:val="fr-FR"/>
        </w:rPr>
        <w:t>brexpiprazole</w:t>
      </w:r>
      <w:proofErr w:type="spellEnd"/>
      <w:r w:rsidR="0042216A" w:rsidRPr="00B65DB2">
        <w:rPr>
          <w:sz w:val="28"/>
          <w:szCs w:val="28"/>
          <w:lang w:val="fr-FR"/>
        </w:rPr>
        <w:t xml:space="preserve"> </w:t>
      </w:r>
      <w:r w:rsidRPr="00B65DB2">
        <w:rPr>
          <w:sz w:val="28"/>
          <w:szCs w:val="28"/>
          <w:lang w:val="fr-FR"/>
        </w:rPr>
        <w:t xml:space="preserve">à </w:t>
      </w:r>
      <w:r w:rsidR="0042216A" w:rsidRPr="00B65DB2">
        <w:rPr>
          <w:sz w:val="28"/>
          <w:szCs w:val="28"/>
          <w:lang w:val="fr-FR"/>
        </w:rPr>
        <w:t xml:space="preserve">un risque plus faible d'échec du traitement par rapport </w:t>
      </w:r>
      <w:r w:rsidRPr="00B65DB2">
        <w:rPr>
          <w:sz w:val="28"/>
          <w:szCs w:val="28"/>
          <w:lang w:val="fr-FR"/>
        </w:rPr>
        <w:t>à la monothérapie</w:t>
      </w:r>
      <w:r w:rsidR="0042216A" w:rsidRPr="00B65DB2">
        <w:rPr>
          <w:sz w:val="28"/>
          <w:szCs w:val="28"/>
          <w:lang w:val="fr-FR"/>
        </w:rPr>
        <w:t>, mais d'autres types d'associations n'ont pas été bénéfiques dans la présente étude</w:t>
      </w:r>
      <w:r w:rsidR="00E759D0" w:rsidRPr="00B65DB2">
        <w:rPr>
          <w:sz w:val="28"/>
          <w:szCs w:val="28"/>
          <w:lang w:val="fr-FR"/>
        </w:rPr>
        <w:t>.</w:t>
      </w:r>
    </w:p>
    <w:p w14:paraId="72010E5E" w14:textId="77777777" w:rsidR="00585FEC" w:rsidRPr="00B65DB2" w:rsidRDefault="00585FEC" w:rsidP="00E22C1B">
      <w:pPr>
        <w:rPr>
          <w:b/>
          <w:bCs/>
          <w:sz w:val="28"/>
          <w:szCs w:val="28"/>
          <w:u w:val="single"/>
        </w:rPr>
      </w:pPr>
    </w:p>
    <w:p w14:paraId="6FA44757" w14:textId="438D9D61" w:rsidR="00B46255" w:rsidRPr="00B65DB2" w:rsidRDefault="00B46255" w:rsidP="00B46255">
      <w:pPr>
        <w:rPr>
          <w:b/>
          <w:bCs/>
          <w:sz w:val="28"/>
          <w:szCs w:val="28"/>
          <w:u w:val="single"/>
        </w:rPr>
      </w:pPr>
      <w:r w:rsidRPr="00B65DB2">
        <w:rPr>
          <w:b/>
          <w:bCs/>
          <w:sz w:val="28"/>
          <w:szCs w:val="28"/>
          <w:u w:val="single"/>
        </w:rPr>
        <w:t>Conclusion :</w:t>
      </w:r>
    </w:p>
    <w:p w14:paraId="1D1B836D" w14:textId="782E9975" w:rsidR="00B46255" w:rsidRPr="00B65DB2" w:rsidRDefault="00B46255" w:rsidP="00B46255">
      <w:pPr>
        <w:rPr>
          <w:sz w:val="28"/>
          <w:szCs w:val="28"/>
        </w:rPr>
      </w:pPr>
      <w:r w:rsidRPr="00B65DB2">
        <w:rPr>
          <w:sz w:val="28"/>
          <w:szCs w:val="28"/>
        </w:rPr>
        <w:br/>
        <w:t xml:space="preserve">Le passage aux LAI et à l'APEC chez les premiers </w:t>
      </w:r>
      <w:r w:rsidR="00576498">
        <w:rPr>
          <w:sz w:val="28"/>
          <w:szCs w:val="28"/>
        </w:rPr>
        <w:t xml:space="preserve">patients </w:t>
      </w:r>
      <w:r w:rsidRPr="00B65DB2">
        <w:rPr>
          <w:sz w:val="28"/>
          <w:szCs w:val="28"/>
        </w:rPr>
        <w:t xml:space="preserve">non-répondants semble être bénéfique pour la prévention de l'échec du traitement chez les patients hospitalisés en phase </w:t>
      </w:r>
      <w:r w:rsidR="00576498">
        <w:rPr>
          <w:sz w:val="28"/>
          <w:szCs w:val="28"/>
        </w:rPr>
        <w:t>aiguë</w:t>
      </w:r>
      <w:r w:rsidRPr="00B65DB2">
        <w:rPr>
          <w:sz w:val="28"/>
          <w:szCs w:val="28"/>
        </w:rPr>
        <w:t xml:space="preserve"> de schizophrénie. Le risque d'échec du traitement était d'environ 19 % et 17 % plus faible chez les patients traités par LAI et APEC, respectivement, que ch</w:t>
      </w:r>
      <w:r w:rsidR="00576498">
        <w:rPr>
          <w:sz w:val="28"/>
          <w:szCs w:val="28"/>
        </w:rPr>
        <w:t>ez les patients traités sans ces deux types de traitement</w:t>
      </w:r>
      <w:r w:rsidRPr="00B65DB2">
        <w:rPr>
          <w:sz w:val="28"/>
          <w:szCs w:val="28"/>
        </w:rPr>
        <w:t>.</w:t>
      </w:r>
    </w:p>
    <w:p w14:paraId="0DF2E155" w14:textId="39BB3E24" w:rsidR="0036788B" w:rsidRPr="00B65DB2" w:rsidRDefault="0036788B" w:rsidP="00B46255">
      <w:pPr>
        <w:rPr>
          <w:sz w:val="28"/>
          <w:szCs w:val="28"/>
        </w:rPr>
      </w:pPr>
    </w:p>
    <w:p w14:paraId="5F4BB0C3" w14:textId="75C8FFD4" w:rsidR="0036788B" w:rsidRPr="00B65DB2" w:rsidRDefault="0036788B" w:rsidP="00B65DB2">
      <w:pPr>
        <w:jc w:val="right"/>
        <w:rPr>
          <w:sz w:val="28"/>
          <w:szCs w:val="28"/>
        </w:rPr>
      </w:pPr>
    </w:p>
    <w:p w14:paraId="3B0B63CC" w14:textId="4E7B4AD4" w:rsidR="0036788B" w:rsidRPr="00B65DB2" w:rsidRDefault="0036788B" w:rsidP="00B65DB2">
      <w:pPr>
        <w:spacing w:line="276" w:lineRule="auto"/>
        <w:jc w:val="right"/>
        <w:rPr>
          <w:sz w:val="28"/>
          <w:szCs w:val="28"/>
        </w:rPr>
      </w:pPr>
      <w:r w:rsidRPr="00B65DB2">
        <w:rPr>
          <w:sz w:val="28"/>
          <w:szCs w:val="28"/>
        </w:rPr>
        <w:t>Dr. Mohammed EL ABBANI</w:t>
      </w:r>
    </w:p>
    <w:p w14:paraId="264DF62B" w14:textId="77777777" w:rsidR="0036788B" w:rsidRPr="00B65DB2" w:rsidRDefault="0036788B" w:rsidP="00B65DB2">
      <w:pPr>
        <w:spacing w:line="276" w:lineRule="auto"/>
        <w:jc w:val="right"/>
        <w:rPr>
          <w:sz w:val="28"/>
          <w:szCs w:val="28"/>
        </w:rPr>
      </w:pPr>
      <w:r w:rsidRPr="00B65DB2">
        <w:rPr>
          <w:sz w:val="28"/>
          <w:szCs w:val="28"/>
        </w:rPr>
        <w:t>Service de psychiatrie CHU – Agadir</w:t>
      </w:r>
    </w:p>
    <w:p w14:paraId="74309BDF" w14:textId="2B000C8F" w:rsidR="0036788B" w:rsidRPr="00B65DB2" w:rsidRDefault="0036788B" w:rsidP="00B65DB2">
      <w:pPr>
        <w:spacing w:line="276" w:lineRule="auto"/>
        <w:jc w:val="right"/>
        <w:rPr>
          <w:sz w:val="28"/>
          <w:szCs w:val="28"/>
        </w:rPr>
      </w:pPr>
      <w:r w:rsidRPr="00B65DB2">
        <w:rPr>
          <w:sz w:val="28"/>
          <w:szCs w:val="28"/>
        </w:rPr>
        <w:t>Décembre 2021</w:t>
      </w:r>
    </w:p>
    <w:sectPr w:rsidR="0036788B" w:rsidRPr="00B6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6B"/>
    <w:rsid w:val="00066215"/>
    <w:rsid w:val="00094F6F"/>
    <w:rsid w:val="001C4663"/>
    <w:rsid w:val="001C7A5C"/>
    <w:rsid w:val="00211CDF"/>
    <w:rsid w:val="00231084"/>
    <w:rsid w:val="0028736B"/>
    <w:rsid w:val="00306764"/>
    <w:rsid w:val="00313A45"/>
    <w:rsid w:val="00327BAE"/>
    <w:rsid w:val="00336E01"/>
    <w:rsid w:val="0036788B"/>
    <w:rsid w:val="003E3FB6"/>
    <w:rsid w:val="003E7035"/>
    <w:rsid w:val="0042216A"/>
    <w:rsid w:val="0044353E"/>
    <w:rsid w:val="004E53B8"/>
    <w:rsid w:val="004F20A3"/>
    <w:rsid w:val="00520DDB"/>
    <w:rsid w:val="00534004"/>
    <w:rsid w:val="00576498"/>
    <w:rsid w:val="00580AB1"/>
    <w:rsid w:val="00585FEC"/>
    <w:rsid w:val="00587310"/>
    <w:rsid w:val="005B78C3"/>
    <w:rsid w:val="005E216E"/>
    <w:rsid w:val="005F6B45"/>
    <w:rsid w:val="006F4D7D"/>
    <w:rsid w:val="007903DE"/>
    <w:rsid w:val="007D0277"/>
    <w:rsid w:val="00817E95"/>
    <w:rsid w:val="008370B3"/>
    <w:rsid w:val="00912A1D"/>
    <w:rsid w:val="00944255"/>
    <w:rsid w:val="00AD1B0E"/>
    <w:rsid w:val="00B46255"/>
    <w:rsid w:val="00B51EFD"/>
    <w:rsid w:val="00B65DB2"/>
    <w:rsid w:val="00B91888"/>
    <w:rsid w:val="00BA4B42"/>
    <w:rsid w:val="00C104EF"/>
    <w:rsid w:val="00C464AC"/>
    <w:rsid w:val="00C77EB6"/>
    <w:rsid w:val="00CA3120"/>
    <w:rsid w:val="00D251F7"/>
    <w:rsid w:val="00D32B4D"/>
    <w:rsid w:val="00DE1420"/>
    <w:rsid w:val="00E22C1B"/>
    <w:rsid w:val="00E33752"/>
    <w:rsid w:val="00E759D0"/>
    <w:rsid w:val="00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0080"/>
  <w15:chartTrackingRefBased/>
  <w15:docId w15:val="{7969FC4F-A8BA-41B7-8614-1E16A8D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surface</cp:lastModifiedBy>
  <cp:revision>4</cp:revision>
  <dcterms:created xsi:type="dcterms:W3CDTF">2021-12-26T19:07:00Z</dcterms:created>
  <dcterms:modified xsi:type="dcterms:W3CDTF">2021-12-30T21:02:00Z</dcterms:modified>
</cp:coreProperties>
</file>