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26" w:rsidRDefault="00637C26" w:rsidP="00637C26">
      <w:pPr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720340" cy="1079068"/>
            <wp:effectExtent l="0" t="0" r="3810" b="6985"/>
            <wp:docPr id="1" name="Image 1" descr="الوقاية من إساءة استعمال المواد الأفيونية وإدمانها وعلاجها | International  Society of Substance Use Professi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قاية من إساءة استعمال المواد الأفيونية وإدمانها وعلاجها | International  Society of Substance Use Professiona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39" w:rsidRPr="00637C26" w:rsidRDefault="00637C26" w:rsidP="00637C26">
      <w:pPr>
        <w:spacing w:before="100" w:beforeAutospacing="1" w:after="100" w:afterAutospacing="1" w:line="240" w:lineRule="auto"/>
        <w:ind w:left="426" w:right="-284" w:hanging="18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48"/>
          <w:lang w:eastAsia="fr-FR"/>
        </w:rPr>
        <w:t xml:space="preserve">              </w:t>
      </w:r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Association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Between</w:t>
      </w:r>
      <w:proofErr w:type="spellEnd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Mood</w:t>
      </w:r>
      <w:proofErr w:type="spellEnd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Disorders</w:t>
      </w:r>
      <w:proofErr w:type="spellEnd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and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Risk</w:t>
      </w:r>
      <w:proofErr w:type="spellEnd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of COVID-19 Infection,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Hospitalization</w:t>
      </w:r>
      <w:proofErr w:type="spellEnd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, and 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Death</w:t>
      </w:r>
      <w:proofErr w:type="spellEnd"/>
    </w:p>
    <w:p w:rsidR="00B52A39" w:rsidRPr="00637C26" w:rsidRDefault="00637C26" w:rsidP="00637C26">
      <w:pPr>
        <w:spacing w:before="100" w:beforeAutospacing="1" w:after="100" w:afterAutospacing="1" w:line="240" w:lineRule="auto"/>
        <w:ind w:left="426" w:right="-284" w:hanging="184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48"/>
          <w:lang w:eastAsia="fr-FR"/>
        </w:rPr>
      </w:pPr>
      <w:r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       A </w:t>
      </w:r>
      <w:proofErr w:type="spellStart"/>
      <w:r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Systematic</w:t>
      </w:r>
      <w:proofErr w:type="spellEnd"/>
      <w:r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</w:t>
      </w:r>
      <w:proofErr w:type="spellStart"/>
      <w:r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Review</w:t>
      </w:r>
      <w:proofErr w:type="spellEnd"/>
      <w:r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 xml:space="preserve"> and Meta -</w:t>
      </w:r>
      <w:proofErr w:type="spellStart"/>
      <w:r w:rsidR="00B52A39" w:rsidRPr="00637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  <w:lang w:eastAsia="fr-FR"/>
        </w:rPr>
        <w:t>analysis</w:t>
      </w:r>
      <w:proofErr w:type="spellEnd"/>
    </w:p>
    <w:p w:rsidR="00B52A39" w:rsidRPr="00637C26" w:rsidRDefault="00B52A39" w:rsidP="00637C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Cs w:val="24"/>
          <w:lang w:eastAsia="fr-FR"/>
        </w:rPr>
      </w:pPr>
      <w:r w:rsidRPr="00637C26">
        <w:rPr>
          <w:rFonts w:ascii="Times New Roman" w:eastAsia="Times New Roman" w:hAnsi="Times New Roman" w:cs="Times New Roman"/>
          <w:color w:val="002060"/>
          <w:szCs w:val="24"/>
          <w:lang w:eastAsia="fr-FR"/>
        </w:rPr>
        <w:t xml:space="preserve">JAMA </w:t>
      </w:r>
      <w:proofErr w:type="spellStart"/>
      <w:r w:rsidRPr="00637C26">
        <w:rPr>
          <w:rFonts w:ascii="Times New Roman" w:eastAsia="Times New Roman" w:hAnsi="Times New Roman" w:cs="Times New Roman"/>
          <w:color w:val="002060"/>
          <w:szCs w:val="24"/>
          <w:lang w:eastAsia="fr-FR"/>
        </w:rPr>
        <w:t>Psychiatry</w:t>
      </w:r>
      <w:proofErr w:type="spellEnd"/>
      <w:r w:rsidRPr="00637C26">
        <w:rPr>
          <w:rFonts w:ascii="Times New Roman" w:eastAsia="Times New Roman" w:hAnsi="Times New Roman" w:cs="Times New Roman"/>
          <w:color w:val="002060"/>
          <w:szCs w:val="24"/>
          <w:lang w:eastAsia="fr-FR"/>
        </w:rPr>
        <w:t xml:space="preserve">. 2021;78(10):1079-1091. doi:10.1001/jamapsychiatry.2021.1818 </w:t>
      </w:r>
    </w:p>
    <w:p w:rsidR="00B52A39" w:rsidRPr="00637C26" w:rsidRDefault="00B52A39" w:rsidP="00637C26">
      <w:pPr>
        <w:jc w:val="right"/>
        <w:rPr>
          <w:color w:val="002060"/>
          <w:sz w:val="20"/>
        </w:rPr>
      </w:pPr>
    </w:p>
    <w:p w:rsidR="00B52A39" w:rsidRDefault="00B52A39"/>
    <w:p w:rsidR="008938FA" w:rsidRDefault="008938FA" w:rsidP="00B52A39"/>
    <w:p w:rsidR="008938FA" w:rsidRPr="00637C26" w:rsidRDefault="00637C26" w:rsidP="00B52A39">
      <w:pPr>
        <w:rPr>
          <w:b/>
          <w:color w:val="002060"/>
          <w:sz w:val="40"/>
          <w:szCs w:val="40"/>
          <w:u w:val="single"/>
        </w:rPr>
      </w:pPr>
      <w:r w:rsidRPr="00637C26">
        <w:rPr>
          <w:b/>
          <w:color w:val="002060"/>
          <w:sz w:val="40"/>
          <w:szCs w:val="40"/>
          <w:u w:val="single"/>
        </w:rPr>
        <w:t xml:space="preserve">Introduction : </w:t>
      </w:r>
    </w:p>
    <w:p w:rsidR="008938FA" w:rsidRDefault="005C5F34" w:rsidP="008938FA">
      <w:r>
        <w:t>L’impact</w:t>
      </w:r>
      <w:r w:rsidR="008938FA">
        <w:t xml:space="preserve"> dévastateur du COVID-19 continue d'être observé dans le monde entier. En octobre 2020, l'Organisation mondiale de la santé a estimé qu'environ 10 % de la population mondiale avait été infectée par le COVID-</w:t>
      </w:r>
      <w:r w:rsidR="002D7627">
        <w:t>19</w:t>
      </w:r>
      <w:r w:rsidR="008938FA">
        <w:t>.</w:t>
      </w:r>
      <w:r w:rsidR="002D7627">
        <w:t xml:space="preserve"> </w:t>
      </w:r>
      <w:r w:rsidR="008938FA">
        <w:t>Les facteurs de risque établis pour le COVID-19 sévère comprennent les maladies cardiovasculaires préexistantes, l'obésité, le diabète, les cancers et les maladies respiratoires.</w:t>
      </w:r>
    </w:p>
    <w:p w:rsidR="005C5F34" w:rsidRDefault="0083708C" w:rsidP="00B52A39">
      <w:r>
        <w:t>Il a été documenté</w:t>
      </w:r>
      <w:r w:rsidR="008938FA">
        <w:t xml:space="preserve"> que le COVID</w:t>
      </w:r>
      <w:r>
        <w:t>-19 peut être</w:t>
      </w:r>
      <w:r w:rsidR="008938FA">
        <w:t xml:space="preserve"> associé à des manifestation</w:t>
      </w:r>
      <w:r>
        <w:t>s neuropsychiatriques complexes, mais u</w:t>
      </w:r>
      <w:r w:rsidR="005C5F34">
        <w:t>ne question</w:t>
      </w:r>
      <w:r w:rsidR="008938FA">
        <w:t xml:space="preserve"> distincte est de savoir si les personnes souffrant de troubles de l'humeur courent un risque plus élevé de contracter le COVID-19 et/ou de subir des complicat</w:t>
      </w:r>
      <w:r w:rsidR="005C5F34">
        <w:t>ion</w:t>
      </w:r>
      <w:r>
        <w:t xml:space="preserve">s. Dans ce sens, </w:t>
      </w:r>
      <w:r w:rsidR="005C5F34">
        <w:t>aucune méta-analyse ne s'est penchée su</w:t>
      </w:r>
      <w:r w:rsidR="007526B5">
        <w:t>r cette catégorie</w:t>
      </w:r>
      <w:r w:rsidR="005C5F34">
        <w:t>.</w:t>
      </w:r>
    </w:p>
    <w:p w:rsidR="005C5F34" w:rsidRDefault="002D7627" w:rsidP="00B52A39">
      <w:r>
        <w:t xml:space="preserve">Dans cette étude, les auteurs ont </w:t>
      </w:r>
      <w:r w:rsidR="008938FA">
        <w:t>émis l'hypothèse que les personnes souffrant de troubles de l'humeur préexistants présentent un risque plus élevé de susceptibilité au COVID-19, d'hospitalisation, d'événements graves et de décès.</w:t>
      </w:r>
    </w:p>
    <w:p w:rsidR="004036DC" w:rsidRPr="00637C26" w:rsidRDefault="004036DC" w:rsidP="00B52A39">
      <w:pPr>
        <w:rPr>
          <w:b/>
          <w:color w:val="002060"/>
          <w:sz w:val="40"/>
          <w:szCs w:val="40"/>
          <w:u w:val="single"/>
        </w:rPr>
      </w:pPr>
      <w:r w:rsidRPr="00637C26">
        <w:rPr>
          <w:b/>
          <w:color w:val="002060"/>
          <w:sz w:val="40"/>
          <w:szCs w:val="40"/>
          <w:u w:val="single"/>
        </w:rPr>
        <w:t xml:space="preserve">Matériels et méthodes : </w:t>
      </w:r>
    </w:p>
    <w:p w:rsidR="005C5F34" w:rsidRDefault="00B52A39" w:rsidP="00B52A39">
      <w:r>
        <w:t xml:space="preserve">Des recherches systématiques ont été menées pour trouver des études rapportant des données sur les résultats du COVID-19 dans des populations avec et sans troubles de l'humeur sur </w:t>
      </w:r>
      <w:r w:rsidR="005C5F34">
        <w:t>les différents moteurs de recherches scientifiques (</w:t>
      </w:r>
      <w:proofErr w:type="spellStart"/>
      <w:r>
        <w:t>PubMe</w:t>
      </w:r>
      <w:r w:rsidR="005C5F34">
        <w:t>d</w:t>
      </w:r>
      <w:proofErr w:type="spellEnd"/>
      <w:r w:rsidR="005C5F34">
        <w:t xml:space="preserve">/MEDLINE, The Cochrane Library…) </w:t>
      </w:r>
      <w:r>
        <w:t xml:space="preserve"> </w:t>
      </w:r>
    </w:p>
    <w:p w:rsidR="00B52A39" w:rsidRDefault="00B52A39" w:rsidP="00B52A39">
      <w:r>
        <w:lastRenderedPageBreak/>
        <w:t>L</w:t>
      </w:r>
      <w:r w:rsidR="005C5F34">
        <w:t>es articles de recherche</w:t>
      </w:r>
      <w:r>
        <w:t xml:space="preserve"> qui rapportaient des données quantitatives sur les résultats de COVID-19 chez des personnes souffrant de troubles de l'humeur par rapport à des personnes sans troubles de l'humeur ont été sélectionnés. Sur les 1950 articles identifiés, 21 études ont été incluses dans l'analyse.</w:t>
      </w:r>
    </w:p>
    <w:p w:rsidR="00B52A39" w:rsidRDefault="00FF5420" w:rsidP="00B52A39">
      <w:r>
        <w:t>Toutes les études ont contribu</w:t>
      </w:r>
      <w:r w:rsidR="005318AB">
        <w:t>é à au moins une méta-analyse, dont d</w:t>
      </w:r>
      <w:r>
        <w:t xml:space="preserve">ouze études </w:t>
      </w:r>
      <w:r w:rsidR="005318AB">
        <w:t>provenaient des États-Unis</w:t>
      </w:r>
      <w:r w:rsidR="007E6949">
        <w:t>.</w:t>
      </w:r>
      <w:r>
        <w:t xml:space="preserve"> La taille des échantillons variait de 398 à 69,8 millions, et les périodes d'acquisition des données s'étendaient du 1er déce</w:t>
      </w:r>
      <w:r w:rsidR="007E6949">
        <w:t>mbre 2019 au 30 septembre 2020.</w:t>
      </w:r>
      <w:r w:rsidR="005318AB">
        <w:t>²</w:t>
      </w:r>
    </w:p>
    <w:p w:rsidR="008938FA" w:rsidRPr="00637C26" w:rsidRDefault="00B52A39" w:rsidP="00B52A39">
      <w:pPr>
        <w:rPr>
          <w:b/>
          <w:color w:val="002060"/>
          <w:sz w:val="40"/>
          <w:szCs w:val="40"/>
          <w:u w:val="single"/>
        </w:rPr>
      </w:pPr>
      <w:r w:rsidRPr="00637C26">
        <w:rPr>
          <w:b/>
          <w:color w:val="002060"/>
          <w:sz w:val="40"/>
          <w:szCs w:val="40"/>
          <w:u w:val="single"/>
        </w:rPr>
        <w:t xml:space="preserve">Principaux </w:t>
      </w:r>
      <w:r w:rsidR="007E6949" w:rsidRPr="00637C26">
        <w:rPr>
          <w:b/>
          <w:color w:val="002060"/>
          <w:sz w:val="40"/>
          <w:szCs w:val="40"/>
          <w:u w:val="single"/>
        </w:rPr>
        <w:t>résultats :</w:t>
      </w:r>
    </w:p>
    <w:p w:rsidR="009F7718" w:rsidRDefault="009F7718" w:rsidP="00B52A39">
      <w:r w:rsidRPr="009F7718">
        <w:t>La recherche documentaire a donné lieu à 1950 articles, dont 59 étaient éligibles après vérification</w:t>
      </w:r>
      <w:r w:rsidR="001E6EC4">
        <w:t>. Parmi ces études</w:t>
      </w:r>
      <w:r w:rsidRPr="009F7718">
        <w:t>, 38 ont été exclues après examen du texte intégral.</w:t>
      </w:r>
    </w:p>
    <w:p w:rsidR="00C65451" w:rsidRDefault="001E5C73" w:rsidP="00B52A39">
      <w:r>
        <w:t>Les</w:t>
      </w:r>
      <w:r w:rsidR="00962B05" w:rsidRPr="00962B05">
        <w:t xml:space="preserve"> résultats primaires</w:t>
      </w:r>
      <w:r>
        <w:t xml:space="preserve"> des </w:t>
      </w:r>
      <w:proofErr w:type="spellStart"/>
      <w:r>
        <w:t>métanalyses</w:t>
      </w:r>
      <w:proofErr w:type="spellEnd"/>
      <w:r w:rsidR="00962B05" w:rsidRPr="00962B05">
        <w:t xml:space="preserve"> ont révélé </w:t>
      </w:r>
      <w:r w:rsidR="009F7718">
        <w:t xml:space="preserve">les </w:t>
      </w:r>
      <w:r w:rsidR="009F7718" w:rsidRPr="007526B5">
        <w:rPr>
          <w:b/>
        </w:rPr>
        <w:t>risques d'hospitalisation</w:t>
      </w:r>
      <w:r w:rsidR="009F7718">
        <w:t xml:space="preserve"> liés au COVID-19, ainsi que les </w:t>
      </w:r>
      <w:r w:rsidR="009F7718" w:rsidRPr="007526B5">
        <w:rPr>
          <w:b/>
        </w:rPr>
        <w:t>risques de décès</w:t>
      </w:r>
      <w:r w:rsidR="009F7718">
        <w:t xml:space="preserve"> étaient </w:t>
      </w:r>
      <w:r w:rsidR="009F7718" w:rsidRPr="007526B5">
        <w:rPr>
          <w:b/>
        </w:rPr>
        <w:t>significativement plus élevés</w:t>
      </w:r>
      <w:r w:rsidR="009F7718">
        <w:t xml:space="preserve"> chez les personnes souffrant de troubles de l'humeur préexistants que chez celles qui n'en souffraient pas</w:t>
      </w:r>
      <w:r w:rsidR="00962B05" w:rsidRPr="00962B05">
        <w:t>.</w:t>
      </w:r>
      <w:r w:rsidR="009F7718">
        <w:t xml:space="preserve"> Il n'y avait pas d'association entre la susceptibilité au COVID-19, ni entre les évènem</w:t>
      </w:r>
      <w:r w:rsidR="001E6EC4">
        <w:t xml:space="preserve">ents graves liés au COVID-19 avec </w:t>
      </w:r>
      <w:r w:rsidR="007526B5">
        <w:t>d</w:t>
      </w:r>
      <w:r w:rsidR="009F7718">
        <w:t>es troubles de l’humeur préexistants.</w:t>
      </w:r>
    </w:p>
    <w:p w:rsidR="001E5C73" w:rsidRPr="00637C26" w:rsidRDefault="001E5C73" w:rsidP="00B52A39">
      <w:pPr>
        <w:rPr>
          <w:b/>
          <w:color w:val="002060"/>
          <w:sz w:val="40"/>
          <w:szCs w:val="40"/>
          <w:u w:val="single"/>
        </w:rPr>
      </w:pPr>
      <w:r w:rsidRPr="00637C26">
        <w:rPr>
          <w:b/>
          <w:color w:val="002060"/>
          <w:sz w:val="40"/>
          <w:szCs w:val="40"/>
          <w:u w:val="single"/>
        </w:rPr>
        <w:t>Discussion :</w:t>
      </w:r>
    </w:p>
    <w:p w:rsidR="001E5C73" w:rsidRDefault="007526B5" w:rsidP="00B52A39">
      <w:r>
        <w:t>Les résultats de la présente étude</w:t>
      </w:r>
      <w:r w:rsidR="001E5C73" w:rsidRPr="001E5C73">
        <w:t xml:space="preserve"> sont en accord avec une méta-analyse récente qui a examiné toutes les maladies psychiatriqu</w:t>
      </w:r>
      <w:r w:rsidR="005318AB">
        <w:t>es rassemblé</w:t>
      </w:r>
      <w:r w:rsidR="00C25EA5">
        <w:t xml:space="preserve">es par </w:t>
      </w:r>
      <w:proofErr w:type="spellStart"/>
      <w:r w:rsidR="00C25EA5" w:rsidRPr="002D7627">
        <w:rPr>
          <w:i/>
        </w:rPr>
        <w:t>Toubasi</w:t>
      </w:r>
      <w:proofErr w:type="spellEnd"/>
      <w:r w:rsidR="00C25EA5" w:rsidRPr="002D7627">
        <w:rPr>
          <w:i/>
        </w:rPr>
        <w:t xml:space="preserve"> et al</w:t>
      </w:r>
      <w:r w:rsidR="00C25EA5">
        <w:t>,</w:t>
      </w:r>
      <w:r>
        <w:t xml:space="preserve"> et q</w:t>
      </w:r>
      <w:r w:rsidR="001E5C73" w:rsidRPr="001E5C73">
        <w:t>ui a rapporté un risqu</w:t>
      </w:r>
      <w:r w:rsidR="00C25EA5">
        <w:t xml:space="preserve">e plus élevé de décès </w:t>
      </w:r>
      <w:r>
        <w:t xml:space="preserve">lié au </w:t>
      </w:r>
      <w:r w:rsidR="00C25EA5">
        <w:t>COVID-19.</w:t>
      </w:r>
    </w:p>
    <w:p w:rsidR="009F7718" w:rsidRDefault="009F7718" w:rsidP="00B52A39">
      <w:r w:rsidRPr="009F7718">
        <w:t xml:space="preserve">Il existe de multiples voies par lesquelles les personnes atteintes de troubles de l'humeur peuvent présenter un risque accru d'hospitalisation et de décès </w:t>
      </w:r>
      <w:r w:rsidR="005318AB">
        <w:t>dû</w:t>
      </w:r>
      <w:r>
        <w:t xml:space="preserve"> au </w:t>
      </w:r>
      <w:r w:rsidR="005C5F34">
        <w:t>COVID-19. Des déterminants sociaux ou encore cliniques propres aux troubles de l’</w:t>
      </w:r>
      <w:r w:rsidR="00C65451">
        <w:t>hu</w:t>
      </w:r>
      <w:r w:rsidR="005C5F34">
        <w:t xml:space="preserve">meur </w:t>
      </w:r>
      <w:r w:rsidR="00C65451">
        <w:t>p</w:t>
      </w:r>
      <w:r w:rsidR="005C5F34">
        <w:t xml:space="preserve">euvent </w:t>
      </w:r>
      <w:r w:rsidRPr="009F7718">
        <w:t>présager un risque de COVID-19.</w:t>
      </w:r>
    </w:p>
    <w:p w:rsidR="00C25EA5" w:rsidRDefault="00C25EA5" w:rsidP="00C25EA5">
      <w:r>
        <w:t>En outre, le tabagisme</w:t>
      </w:r>
      <w:r w:rsidR="002B0FCB">
        <w:t xml:space="preserve"> </w:t>
      </w:r>
      <w:r>
        <w:t>et les troubles liés à la consommat</w:t>
      </w:r>
      <w:r w:rsidR="002B0FCB">
        <w:t>i</w:t>
      </w:r>
      <w:r w:rsidR="00C65451">
        <w:t xml:space="preserve">on des substances </w:t>
      </w:r>
      <w:r w:rsidR="002D7627">
        <w:t>-</w:t>
      </w:r>
      <w:r>
        <w:t xml:space="preserve"> facteurs de risque établis pour l'infection </w:t>
      </w:r>
      <w:r w:rsidR="002D7627">
        <w:t>COVID-19 -</w:t>
      </w:r>
      <w:r>
        <w:t xml:space="preserve"> sont nettement plus répandus chez les personnes souffrant de troubles de l'humeur. </w:t>
      </w:r>
    </w:p>
    <w:p w:rsidR="00C25EA5" w:rsidRDefault="002B0FCB" w:rsidP="00C25EA5">
      <w:r>
        <w:t>Egalement</w:t>
      </w:r>
      <w:r w:rsidR="005C5F34">
        <w:t>, cette sous-population est affectée</w:t>
      </w:r>
      <w:r w:rsidR="00C25EA5">
        <w:t xml:space="preserve"> de manière différentielle par</w:t>
      </w:r>
      <w:r w:rsidR="00C65451">
        <w:t xml:space="preserve"> des maladies chroniques connus pour être des facteurs de risque du</w:t>
      </w:r>
      <w:r w:rsidR="005C5F34">
        <w:t xml:space="preserve"> COVID-19 (</w:t>
      </w:r>
      <w:r w:rsidR="00C25EA5">
        <w:t>l'obésité et les maladies cardiovasculaires).</w:t>
      </w:r>
    </w:p>
    <w:p w:rsidR="00C25EA5" w:rsidRDefault="00C25EA5" w:rsidP="00C25EA5">
      <w:r>
        <w:t xml:space="preserve">La perturbation de la régulation immunitaire est également une anomalie bien documentée </w:t>
      </w:r>
      <w:r w:rsidR="005C5F34">
        <w:t>chez les</w:t>
      </w:r>
      <w:r>
        <w:t xml:space="preserve"> personnes souffrant de trouble</w:t>
      </w:r>
      <w:r w:rsidR="002D7627">
        <w:t>s de l'hume</w:t>
      </w:r>
      <w:r w:rsidR="005C5F34">
        <w:t xml:space="preserve">ur, </w:t>
      </w:r>
      <w:r>
        <w:t>augmentant ainsi le risque de décès et de complications du COVID-19.</w:t>
      </w:r>
    </w:p>
    <w:p w:rsidR="00C65451" w:rsidRDefault="00C25EA5" w:rsidP="00C25EA5">
      <w:r>
        <w:t>La pharmacoth</w:t>
      </w:r>
      <w:r w:rsidR="005C5F34">
        <w:t xml:space="preserve">érapie prescrite dans ces troubles-là exerce des effets </w:t>
      </w:r>
      <w:r>
        <w:t xml:space="preserve"> sur le système immunitaire et inflammatoire. Les benzodiazépines et certains antipsychotiques atypiques ont été associés à un risque plus élevé de pneumonie et/ou de COVID-19. </w:t>
      </w:r>
    </w:p>
    <w:p w:rsidR="00C25EA5" w:rsidRDefault="007526B5" w:rsidP="00C25EA5">
      <w:r>
        <w:t>Par conséquent, i</w:t>
      </w:r>
      <w:r w:rsidR="00C25EA5">
        <w:t xml:space="preserve">l convient de considérer que le risque d'être infecté par le COVID-19 et d'en subir les complications chez les adultes souffrant de troubles de l'humeur peut avoir des déterminants différents mais qui se recoupent. </w:t>
      </w:r>
    </w:p>
    <w:p w:rsidR="001C4705" w:rsidRPr="00637C26" w:rsidRDefault="001C4705" w:rsidP="00B52A39">
      <w:pPr>
        <w:rPr>
          <w:b/>
          <w:color w:val="002060"/>
          <w:sz w:val="40"/>
          <w:szCs w:val="40"/>
          <w:u w:val="single"/>
        </w:rPr>
      </w:pPr>
      <w:r w:rsidRPr="00637C26">
        <w:rPr>
          <w:b/>
          <w:color w:val="002060"/>
          <w:sz w:val="40"/>
          <w:szCs w:val="40"/>
          <w:u w:val="single"/>
        </w:rPr>
        <w:lastRenderedPageBreak/>
        <w:t xml:space="preserve">Conclusion : </w:t>
      </w:r>
    </w:p>
    <w:p w:rsidR="007526B5" w:rsidRDefault="001C4705" w:rsidP="00B52A39">
      <w:r>
        <w:t xml:space="preserve">Dans cette </w:t>
      </w:r>
      <w:r w:rsidRPr="001C4705">
        <w:t>méta-</w:t>
      </w:r>
      <w:r w:rsidRPr="001774E7">
        <w:t>analyse</w:t>
      </w:r>
      <w:r w:rsidR="001774E7">
        <w:t>,</w:t>
      </w:r>
      <w:r w:rsidRPr="001774E7">
        <w:t xml:space="preserve"> </w:t>
      </w:r>
      <w:r w:rsidR="001774E7">
        <w:t>l</w:t>
      </w:r>
      <w:r>
        <w:t xml:space="preserve">es résultats </w:t>
      </w:r>
      <w:r w:rsidRPr="001C4705">
        <w:t>de plus de 91 million</w:t>
      </w:r>
      <w:r w:rsidR="007526B5">
        <w:t>s de personnes ont indiqué que les personnes souffrant de ces troubles</w:t>
      </w:r>
      <w:r w:rsidRPr="001C4705">
        <w:t xml:space="preserve"> ont un risque plus élevé d'hospitalisation et de décès</w:t>
      </w:r>
      <w:r w:rsidR="001774E7">
        <w:t xml:space="preserve"> liés au COVID-19</w:t>
      </w:r>
      <w:r w:rsidRPr="001C4705">
        <w:t>. Ces résultats suggèrent que les personnes sou</w:t>
      </w:r>
      <w:r w:rsidR="009F04BF">
        <w:t xml:space="preserve">ffrant de troubles de l'humeur </w:t>
      </w:r>
      <w:r w:rsidRPr="001C4705">
        <w:t>devraient être classées c</w:t>
      </w:r>
      <w:r w:rsidR="00C65451">
        <w:t>omme un groupe à risque</w:t>
      </w:r>
      <w:r w:rsidRPr="001C4705">
        <w:t xml:space="preserve">. </w:t>
      </w:r>
    </w:p>
    <w:p w:rsidR="009F7718" w:rsidRDefault="001C4705" w:rsidP="00B52A39">
      <w:r w:rsidRPr="001C4705">
        <w:t>Les recherches futures devront déterminer si les vaccins COVID-19 présentent une efficacité différentielle chez les personnes souffrant de troubles de l'humeur et si l'infection par le COVID-19 affe</w:t>
      </w:r>
      <w:r w:rsidR="009F04BF">
        <w:t>cte la trajectoire</w:t>
      </w:r>
      <w:r w:rsidRPr="001C4705">
        <w:t xml:space="preserve"> du trouble mental sous-jacent.</w:t>
      </w:r>
      <w:r w:rsidR="001E6EC4">
        <w:t xml:space="preserve"> </w:t>
      </w:r>
    </w:p>
    <w:p w:rsidR="00BD5C22" w:rsidRDefault="00BD5C22" w:rsidP="00B52A39"/>
    <w:p w:rsidR="00BD5C22" w:rsidRDefault="00BD5C22" w:rsidP="00B52A39"/>
    <w:p w:rsidR="00B52A39" w:rsidRDefault="005318AB" w:rsidP="00BD5C22">
      <w:pPr>
        <w:spacing w:line="240" w:lineRule="auto"/>
        <w:jc w:val="right"/>
        <w:rPr>
          <w:b/>
        </w:rPr>
      </w:pPr>
      <w:r>
        <w:rPr>
          <w:b/>
        </w:rPr>
        <w:t xml:space="preserve">Dr </w:t>
      </w:r>
      <w:proofErr w:type="spellStart"/>
      <w:r w:rsidR="00637C26" w:rsidRPr="00637C26">
        <w:rPr>
          <w:b/>
        </w:rPr>
        <w:t>Salehddine</w:t>
      </w:r>
      <w:proofErr w:type="spellEnd"/>
      <w:r w:rsidR="00637C26" w:rsidRPr="00637C26">
        <w:rPr>
          <w:b/>
        </w:rPr>
        <w:t xml:space="preserve"> Zineb</w:t>
      </w:r>
    </w:p>
    <w:p w:rsidR="00637C26" w:rsidRPr="00637C26" w:rsidRDefault="005318AB" w:rsidP="00BD5C22">
      <w:pPr>
        <w:spacing w:line="240" w:lineRule="auto"/>
        <w:jc w:val="right"/>
        <w:rPr>
          <w:b/>
        </w:rPr>
      </w:pPr>
      <w:r>
        <w:rPr>
          <w:b/>
        </w:rPr>
        <w:t>Service de psychiatrie.</w:t>
      </w: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 xml:space="preserve">CHU </w:t>
      </w:r>
      <w:r w:rsidR="00637C26" w:rsidRPr="00637C26">
        <w:rPr>
          <w:b/>
        </w:rPr>
        <w:t xml:space="preserve"> Agadir</w:t>
      </w:r>
      <w:proofErr w:type="gramEnd"/>
    </w:p>
    <w:p w:rsidR="00637C26" w:rsidRPr="00637C26" w:rsidRDefault="005318AB" w:rsidP="00BD5C22">
      <w:pPr>
        <w:spacing w:line="240" w:lineRule="auto"/>
        <w:jc w:val="right"/>
        <w:rPr>
          <w:b/>
        </w:rPr>
      </w:pPr>
      <w:r>
        <w:rPr>
          <w:b/>
        </w:rPr>
        <w:t>Octobre 2021</w:t>
      </w:r>
      <w:r w:rsidR="00637C26" w:rsidRPr="00637C26">
        <w:rPr>
          <w:b/>
        </w:rPr>
        <w:t>.</w:t>
      </w:r>
    </w:p>
    <w:sectPr w:rsidR="00637C26" w:rsidRPr="0063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39"/>
    <w:rsid w:val="001774E7"/>
    <w:rsid w:val="001C4705"/>
    <w:rsid w:val="001D1383"/>
    <w:rsid w:val="001E5C73"/>
    <w:rsid w:val="001E6EC4"/>
    <w:rsid w:val="002B0FCB"/>
    <w:rsid w:val="002D7627"/>
    <w:rsid w:val="004036DC"/>
    <w:rsid w:val="005318AB"/>
    <w:rsid w:val="005418F9"/>
    <w:rsid w:val="005C5F34"/>
    <w:rsid w:val="00637C26"/>
    <w:rsid w:val="007526B5"/>
    <w:rsid w:val="007E6949"/>
    <w:rsid w:val="0083708C"/>
    <w:rsid w:val="008938FA"/>
    <w:rsid w:val="008F43C7"/>
    <w:rsid w:val="00961F0C"/>
    <w:rsid w:val="00962B05"/>
    <w:rsid w:val="009F04BF"/>
    <w:rsid w:val="009F7718"/>
    <w:rsid w:val="00A217BA"/>
    <w:rsid w:val="00A42D8D"/>
    <w:rsid w:val="00A86171"/>
    <w:rsid w:val="00B52A39"/>
    <w:rsid w:val="00BD5C22"/>
    <w:rsid w:val="00C25EA5"/>
    <w:rsid w:val="00C36626"/>
    <w:rsid w:val="00C65451"/>
    <w:rsid w:val="00C6780B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5EF0B-4C2B-485D-B5DC-2EBE3B94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2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A3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ous-titre1">
    <w:name w:val="Sous-titre1"/>
    <w:basedOn w:val="Policepardfaut"/>
    <w:rsid w:val="00B52A39"/>
  </w:style>
  <w:style w:type="character" w:customStyle="1" w:styleId="meta-authors--limited">
    <w:name w:val="meta-authors--limited"/>
    <w:basedOn w:val="Policepardfaut"/>
    <w:rsid w:val="00B52A39"/>
  </w:style>
  <w:style w:type="character" w:customStyle="1" w:styleId="wi-fullname">
    <w:name w:val="wi-fullname"/>
    <w:basedOn w:val="Policepardfaut"/>
    <w:rsid w:val="00B52A39"/>
  </w:style>
  <w:style w:type="character" w:styleId="Lienhypertexte">
    <w:name w:val="Hyperlink"/>
    <w:basedOn w:val="Policepardfaut"/>
    <w:uiPriority w:val="99"/>
    <w:semiHidden/>
    <w:unhideWhenUsed/>
    <w:rsid w:val="00B52A39"/>
    <w:rPr>
      <w:color w:val="0000FF"/>
      <w:u w:val="single"/>
    </w:rPr>
  </w:style>
  <w:style w:type="character" w:customStyle="1" w:styleId="al-author-delim">
    <w:name w:val="al-author-delim"/>
    <w:basedOn w:val="Policepardfaut"/>
    <w:rsid w:val="00B52A39"/>
  </w:style>
  <w:style w:type="character" w:customStyle="1" w:styleId="meta-citation-journal-name">
    <w:name w:val="meta-citation-journal-name"/>
    <w:basedOn w:val="Policepardfaut"/>
    <w:rsid w:val="00B52A39"/>
  </w:style>
  <w:style w:type="character" w:customStyle="1" w:styleId="meta-citation">
    <w:name w:val="meta-citation"/>
    <w:basedOn w:val="Policepardfaut"/>
    <w:rsid w:val="00B52A39"/>
  </w:style>
  <w:style w:type="paragraph" w:styleId="Textedebulles">
    <w:name w:val="Balloon Text"/>
    <w:basedOn w:val="Normal"/>
    <w:link w:val="TextedebullesCar"/>
    <w:uiPriority w:val="99"/>
    <w:semiHidden/>
    <w:unhideWhenUsed/>
    <w:rsid w:val="006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</cp:lastModifiedBy>
  <cp:revision>3</cp:revision>
  <dcterms:created xsi:type="dcterms:W3CDTF">2021-10-23T08:36:00Z</dcterms:created>
  <dcterms:modified xsi:type="dcterms:W3CDTF">2021-10-27T20:26:00Z</dcterms:modified>
</cp:coreProperties>
</file>