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401" w:rsidRDefault="003C3EA0" w:rsidP="00D16E3E">
      <w:pPr>
        <w:spacing w:line="360" w:lineRule="auto"/>
        <w:ind w:left="-851"/>
        <w:rPr>
          <w:sz w:val="32"/>
        </w:rPr>
      </w:pPr>
      <w:r>
        <w:rPr>
          <w:noProof/>
          <w:lang w:eastAsia="fr-FR"/>
        </w:rPr>
        <w:drawing>
          <wp:inline distT="0" distB="0" distL="0" distR="0" wp14:anchorId="34C44E1F" wp14:editId="3DDA6413">
            <wp:extent cx="5760720" cy="454025"/>
            <wp:effectExtent l="0" t="0" r="0" b="317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E3FC985" wp14:editId="3FD8E364">
            <wp:extent cx="5760720" cy="60515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401" w:rsidRDefault="005D3401" w:rsidP="00D16E3E">
      <w:pPr>
        <w:spacing w:line="360" w:lineRule="auto"/>
        <w:rPr>
          <w:sz w:val="32"/>
        </w:rPr>
      </w:pPr>
      <w:r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-892175</wp:posOffset>
                </wp:positionH>
                <wp:positionV relativeFrom="paragraph">
                  <wp:posOffset>60960</wp:posOffset>
                </wp:positionV>
                <wp:extent cx="7566660" cy="7620"/>
                <wp:effectExtent l="19050" t="38100" r="91440" b="10668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6660" cy="7620"/>
                        </a:xfrm>
                        <a:prstGeom prst="line">
                          <a:avLst/>
                        </a:prstGeom>
                        <a:ln>
                          <a:solidFill>
                            <a:srgbClr val="14501A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031A70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25pt,4.8pt" to="525.5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" strokecolor="#14501a">
                <v:shadow on="t" color="black" opacity="26214f" origin="-.5,-.5" offset=".74836mm,.74836mm"/>
              </v:line>
            </w:pict>
          </mc:Fallback>
        </mc:AlternateContent>
      </w:r>
    </w:p>
    <w:p w:rsidR="005D3401" w:rsidRPr="005D3401" w:rsidRDefault="005D3401" w:rsidP="005D3401">
      <w:pPr>
        <w:spacing w:line="360" w:lineRule="auto"/>
        <w:jc w:val="center"/>
        <w:rPr>
          <w:b/>
          <w:color w:val="000000" w:themeColor="text1"/>
          <w:sz w:val="56"/>
        </w:rPr>
      </w:pPr>
      <w:r w:rsidRPr="005D3401">
        <w:rPr>
          <w:b/>
          <w:color w:val="000000" w:themeColor="text1"/>
          <w:sz w:val="56"/>
        </w:rPr>
        <w:t>Troubles de l'humeur et conséquences des hospitalisations de COVID-19.</w:t>
      </w:r>
    </w:p>
    <w:p w:rsidR="005D3401" w:rsidRDefault="005D3401" w:rsidP="00D16E3E">
      <w:pPr>
        <w:spacing w:line="360" w:lineRule="auto"/>
        <w:rPr>
          <w:sz w:val="32"/>
        </w:rPr>
      </w:pPr>
      <w:r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E9675" wp14:editId="3B8EF360">
                <wp:simplePos x="0" y="0"/>
                <wp:positionH relativeFrom="column">
                  <wp:posOffset>-945515</wp:posOffset>
                </wp:positionH>
                <wp:positionV relativeFrom="paragraph">
                  <wp:posOffset>335280</wp:posOffset>
                </wp:positionV>
                <wp:extent cx="7566660" cy="7620"/>
                <wp:effectExtent l="19050" t="38100" r="91440" b="10668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6660" cy="7620"/>
                        </a:xfrm>
                        <a:prstGeom prst="line">
                          <a:avLst/>
                        </a:prstGeom>
                        <a:ln>
                          <a:solidFill>
                            <a:srgbClr val="14501A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A2D17D" id="Connecteur droit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45pt,26.4pt" to="521.3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" strokecolor="#14501a">
                <v:shadow on="t" color="black" opacity="26214f" origin="-.5,-.5" offset=".74836mm,.74836mm"/>
              </v:line>
            </w:pict>
          </mc:Fallback>
        </mc:AlternateContent>
      </w:r>
    </w:p>
    <w:p w:rsidR="005D3401" w:rsidRDefault="005D3401" w:rsidP="00D16E3E">
      <w:pPr>
        <w:spacing w:line="360" w:lineRule="auto"/>
        <w:rPr>
          <w:sz w:val="32"/>
        </w:rPr>
      </w:pPr>
    </w:p>
    <w:p w:rsidR="00D16E3E" w:rsidRPr="005D3401" w:rsidRDefault="00D16E3E" w:rsidP="00D16E3E">
      <w:pPr>
        <w:spacing w:line="360" w:lineRule="auto"/>
        <w:rPr>
          <w:b/>
          <w:color w:val="14501A"/>
          <w:sz w:val="40"/>
          <w:u w:val="single"/>
        </w:rPr>
      </w:pPr>
      <w:r w:rsidRPr="005D3401">
        <w:rPr>
          <w:b/>
          <w:color w:val="14501A"/>
          <w:sz w:val="40"/>
          <w:u w:val="single"/>
        </w:rPr>
        <w:t xml:space="preserve">Introduction : </w:t>
      </w:r>
    </w:p>
    <w:p w:rsidR="00706265" w:rsidRDefault="00706265" w:rsidP="00D16E3E">
      <w:pPr>
        <w:spacing w:line="360" w:lineRule="auto"/>
      </w:pPr>
      <w:r>
        <w:t>Si les conséquences pulmonaires du syndrome respiratoire aigu sévère à coronavirus 2 (SRAS-CoV-2) ont largement contribué à sa m</w:t>
      </w:r>
      <w:r w:rsidR="00AC3786">
        <w:t xml:space="preserve">orbidité et à sa mortalité, </w:t>
      </w:r>
      <w:r>
        <w:t xml:space="preserve">ses manifestations </w:t>
      </w:r>
      <w:proofErr w:type="spellStart"/>
      <w:r>
        <w:t>extrapulmonaires</w:t>
      </w:r>
      <w:proofErr w:type="spellEnd"/>
      <w:r w:rsidR="00AC3786">
        <w:t xml:space="preserve"> ont également été documentées. </w:t>
      </w:r>
      <w:r w:rsidR="005D3401">
        <w:t xml:space="preserve">Des </w:t>
      </w:r>
      <w:r w:rsidR="00FC51D1">
        <w:t xml:space="preserve">rapports initiaux </w:t>
      </w:r>
      <w:r>
        <w:t>ont suggéré u</w:t>
      </w:r>
      <w:r w:rsidR="00FC51D1">
        <w:t xml:space="preserve">n risque élevé de délire, </w:t>
      </w:r>
      <w:r>
        <w:t>d'acc</w:t>
      </w:r>
      <w:r w:rsidR="00FC51D1">
        <w:t>ident vasculaire cérébral</w:t>
      </w:r>
      <w:r w:rsidR="005D3401">
        <w:t>, et</w:t>
      </w:r>
      <w:r>
        <w:t xml:space="preserve"> d'autres manif</w:t>
      </w:r>
      <w:r w:rsidR="00FC51D1">
        <w:t>estations neurologiques</w:t>
      </w:r>
      <w:r w:rsidR="00AC3786">
        <w:t>.</w:t>
      </w:r>
      <w:r w:rsidR="00FC51D1">
        <w:t xml:space="preserve"> </w:t>
      </w:r>
      <w:r w:rsidR="005D3401">
        <w:t xml:space="preserve">Il est connu </w:t>
      </w:r>
      <w:r>
        <w:t>que les diagnostics de troubles de l'humeur sont associ</w:t>
      </w:r>
      <w:r w:rsidR="00AC3786">
        <w:t>és à des conséquences négatives pour de multiple</w:t>
      </w:r>
      <w:r w:rsidR="00D16E3E">
        <w:t>s</w:t>
      </w:r>
      <w:r w:rsidR="00FC51D1">
        <w:t xml:space="preserve"> troubles</w:t>
      </w:r>
      <w:r w:rsidR="00AC3786">
        <w:t xml:space="preserve">. </w:t>
      </w:r>
      <w:r>
        <w:t>Les preuves croissantes que le SRAS-CoV-2 peut affecter la fonction cérébrale directement ou indirectement augmentent également les in</w:t>
      </w:r>
      <w:r w:rsidR="00AC3786">
        <w:t>quiétudes quant à l'</w:t>
      </w:r>
      <w:r>
        <w:t>interaction</w:t>
      </w:r>
      <w:r w:rsidR="00FC51D1">
        <w:t xml:space="preserve"> entre les t</w:t>
      </w:r>
      <w:r w:rsidR="00B03283">
        <w:t>roubles de l’humeur</w:t>
      </w:r>
      <w:r w:rsidR="00FC51D1">
        <w:t xml:space="preserve"> et les conséquences sur l’infection COVID.</w:t>
      </w:r>
      <w:r w:rsidR="005543AB">
        <w:t xml:space="preserve"> </w:t>
      </w:r>
      <w:r w:rsidR="00FC51D1">
        <w:t xml:space="preserve">Chose qui peut </w:t>
      </w:r>
      <w:r>
        <w:t>compliquer la prise e</w:t>
      </w:r>
      <w:r w:rsidR="00B03283">
        <w:t xml:space="preserve">n charge des cas d’infection </w:t>
      </w:r>
      <w:r>
        <w:t xml:space="preserve">aiguës, en particulier </w:t>
      </w:r>
      <w:r w:rsidR="00FC51D1">
        <w:t>quand les ressources sont limitées</w:t>
      </w:r>
      <w:r>
        <w:t>.</w:t>
      </w:r>
    </w:p>
    <w:p w:rsidR="00D16E3E" w:rsidRDefault="00706265" w:rsidP="00D16E3E">
      <w:pPr>
        <w:spacing w:line="360" w:lineRule="auto"/>
      </w:pPr>
      <w:r>
        <w:t xml:space="preserve">Les </w:t>
      </w:r>
      <w:r w:rsidR="00B03283">
        <w:t>« </w:t>
      </w:r>
      <w:r>
        <w:t>dossiers médicaux électroniqu</w:t>
      </w:r>
      <w:r w:rsidR="00D16E3E">
        <w:t>es</w:t>
      </w:r>
      <w:r w:rsidR="00B03283">
        <w:t> »</w:t>
      </w:r>
      <w:r w:rsidR="00D16E3E">
        <w:t xml:space="preserve"> ont été appliqués dans </w:t>
      </w:r>
      <w:r w:rsidR="005543AB">
        <w:t>divers</w:t>
      </w:r>
      <w:r>
        <w:t xml:space="preserve"> contextes pour permettre un </w:t>
      </w:r>
      <w:proofErr w:type="spellStart"/>
      <w:r>
        <w:t>phénotypa</w:t>
      </w:r>
      <w:r w:rsidR="00D16E3E">
        <w:t>ge</w:t>
      </w:r>
      <w:proofErr w:type="spellEnd"/>
      <w:r w:rsidR="00D16E3E">
        <w:t xml:space="preserve"> rapide et efficace. C</w:t>
      </w:r>
      <w:r>
        <w:t>e typ</w:t>
      </w:r>
      <w:r w:rsidR="00D16E3E">
        <w:t xml:space="preserve">e de </w:t>
      </w:r>
      <w:proofErr w:type="spellStart"/>
      <w:r w:rsidR="00D16E3E">
        <w:t>phénotypage</w:t>
      </w:r>
      <w:proofErr w:type="spellEnd"/>
      <w:r w:rsidR="00D16E3E">
        <w:t xml:space="preserve"> reste bien adapté pour décrire </w:t>
      </w:r>
      <w:r>
        <w:t xml:space="preserve"> des contextes </w:t>
      </w:r>
      <w:r w:rsidR="00D16E3E">
        <w:t>avec des symptômes neuropsychiatriques</w:t>
      </w:r>
      <w:r>
        <w:t xml:space="preserve">. </w:t>
      </w:r>
    </w:p>
    <w:p w:rsidR="00D16E3E" w:rsidRDefault="00D16E3E" w:rsidP="00D16E3E">
      <w:pPr>
        <w:spacing w:line="360" w:lineRule="auto"/>
      </w:pPr>
      <w:r>
        <w:t>Ici, les auteurs ont</w:t>
      </w:r>
      <w:r w:rsidR="00706265">
        <w:t xml:space="preserve"> examiné toutes les admissions de person</w:t>
      </w:r>
      <w:r w:rsidR="00B03283">
        <w:t>nes positives</w:t>
      </w:r>
      <w:r>
        <w:t xml:space="preserve"> au SRAS-CoV-2 </w:t>
      </w:r>
      <w:r w:rsidR="00706265">
        <w:t>dans six hôpitaux de l'e</w:t>
      </w:r>
      <w:r>
        <w:t>st du Mass</w:t>
      </w:r>
      <w:r w:rsidR="00B03283">
        <w:t>achusetts et</w:t>
      </w:r>
      <w:r>
        <w:t xml:space="preserve"> ont cherché à </w:t>
      </w:r>
      <w:r w:rsidR="00706265">
        <w:t>déterminer si un di</w:t>
      </w:r>
      <w:r>
        <w:t xml:space="preserve">agnostic de trouble de </w:t>
      </w:r>
      <w:r>
        <w:lastRenderedPageBreak/>
        <w:t>l'humeur était associé</w:t>
      </w:r>
      <w:r w:rsidR="00706265">
        <w:t xml:space="preserve"> à des résul</w:t>
      </w:r>
      <w:r>
        <w:t>tats hospitaliers différents</w:t>
      </w:r>
      <w:r w:rsidR="00706265">
        <w:t xml:space="preserve">, afin </w:t>
      </w:r>
      <w:r>
        <w:t>d’</w:t>
      </w:r>
      <w:r w:rsidR="00706265">
        <w:t xml:space="preserve">éclairer la </w:t>
      </w:r>
      <w:r>
        <w:t>prise de décision clinique.</w:t>
      </w:r>
    </w:p>
    <w:p w:rsidR="00D16E3E" w:rsidRPr="003C3EA0" w:rsidRDefault="00D16E3E" w:rsidP="00D16E3E">
      <w:pPr>
        <w:spacing w:line="360" w:lineRule="auto"/>
        <w:rPr>
          <w:b/>
          <w:color w:val="14501A"/>
          <w:sz w:val="40"/>
          <w:u w:val="single"/>
        </w:rPr>
      </w:pPr>
      <w:r w:rsidRPr="00B03283">
        <w:rPr>
          <w:b/>
          <w:color w:val="14501A"/>
          <w:sz w:val="40"/>
          <w:u w:val="single"/>
        </w:rPr>
        <w:t>MÉTHODES</w:t>
      </w:r>
      <w:r w:rsidR="00B03283">
        <w:rPr>
          <w:b/>
          <w:color w:val="14501A"/>
          <w:sz w:val="40"/>
          <w:u w:val="single"/>
        </w:rPr>
        <w:t> :</w:t>
      </w:r>
    </w:p>
    <w:p w:rsidR="00B03283" w:rsidRDefault="005543AB" w:rsidP="0091780D">
      <w:pPr>
        <w:spacing w:line="360" w:lineRule="auto"/>
      </w:pPr>
      <w:r>
        <w:t xml:space="preserve">La </w:t>
      </w:r>
      <w:proofErr w:type="gramStart"/>
      <w:r>
        <w:t xml:space="preserve">cohorte </w:t>
      </w:r>
      <w:r w:rsidR="00D16E3E">
        <w:t xml:space="preserve"> comprenait</w:t>
      </w:r>
      <w:proofErr w:type="gramEnd"/>
      <w:r w:rsidR="00D16E3E">
        <w:t xml:space="preserve"> toutes les personnes qui ont été admises dans l'un des deux centres médicaux universitaires et des quatre hôpi</w:t>
      </w:r>
      <w:r w:rsidR="00F42BBF">
        <w:t xml:space="preserve">taux communautaires affiliés </w:t>
      </w:r>
      <w:r w:rsidR="00D16E3E">
        <w:t>de l'est du</w:t>
      </w:r>
      <w:r w:rsidR="00F42BBF">
        <w:t xml:space="preserve"> </w:t>
      </w:r>
      <w:r w:rsidR="00D16E3E">
        <w:t xml:space="preserve">Massachusetts </w:t>
      </w:r>
      <w:r w:rsidR="00B03283">
        <w:t xml:space="preserve">avec un test de dépistage SRAS COV-2 </w:t>
      </w:r>
      <w:r w:rsidR="00D16E3E">
        <w:t xml:space="preserve">entre le 25 février et le 24 mai 2020. </w:t>
      </w:r>
      <w:r w:rsidR="00AA168E">
        <w:t xml:space="preserve">Les informations socio démographiques ont été </w:t>
      </w:r>
      <w:r w:rsidR="001A1A31">
        <w:t xml:space="preserve">principalement </w:t>
      </w:r>
      <w:r w:rsidR="00AA168E">
        <w:t>extraite</w:t>
      </w:r>
      <w:r w:rsidR="00B03283">
        <w:t>s</w:t>
      </w:r>
      <w:r w:rsidR="00D16E3E">
        <w:t xml:space="preserve"> de </w:t>
      </w:r>
      <w:r w:rsidR="00AA168E">
        <w:t>la base de données de recherc</w:t>
      </w:r>
      <w:r w:rsidR="001A1A31">
        <w:t xml:space="preserve">he du « Patient Data </w:t>
      </w:r>
      <w:proofErr w:type="spellStart"/>
      <w:r w:rsidR="001A1A31">
        <w:t>Register</w:t>
      </w:r>
      <w:proofErr w:type="spellEnd"/>
      <w:r w:rsidR="001A1A31">
        <w:t> », tout comme l’indice de masse corporelle et le statut tabagique</w:t>
      </w:r>
      <w:r w:rsidR="00B03283">
        <w:t xml:space="preserve">. </w:t>
      </w:r>
    </w:p>
    <w:p w:rsidR="0091780D" w:rsidRDefault="00D16E3E" w:rsidP="0091780D">
      <w:pPr>
        <w:spacing w:line="360" w:lineRule="auto"/>
      </w:pPr>
      <w:r>
        <w:t>Un diagnostic antérieur de t</w:t>
      </w:r>
      <w:r w:rsidR="00AA168E">
        <w:t>rouble de l'humeur</w:t>
      </w:r>
      <w:r w:rsidR="00C54C41">
        <w:t xml:space="preserve"> </w:t>
      </w:r>
      <w:r>
        <w:t>a été défini</w:t>
      </w:r>
      <w:r w:rsidR="001A1A31">
        <w:t xml:space="preserve"> sur la base des codes CIM-10, </w:t>
      </w:r>
      <w:r>
        <w:t>en utilisant le</w:t>
      </w:r>
      <w:r w:rsidR="00AA168E">
        <w:t xml:space="preserve"> </w:t>
      </w:r>
      <w:r>
        <w:t xml:space="preserve">Healthcare </w:t>
      </w:r>
      <w:proofErr w:type="spellStart"/>
      <w:r>
        <w:t>Cost</w:t>
      </w:r>
      <w:proofErr w:type="spellEnd"/>
      <w:r>
        <w:t xml:space="preserve"> and </w:t>
      </w:r>
      <w:proofErr w:type="spellStart"/>
      <w:r>
        <w:t>Utilization</w:t>
      </w:r>
      <w:proofErr w:type="spellEnd"/>
      <w:r>
        <w:t xml:space="preserve"> Project </w:t>
      </w:r>
      <w:proofErr w:type="spellStart"/>
      <w:r>
        <w:t>Clinical</w:t>
      </w:r>
      <w:proofErr w:type="spellEnd"/>
      <w:r>
        <w:t xml:space="preserve"> Classification</w:t>
      </w:r>
      <w:r w:rsidR="00C54C41">
        <w:t>s Software (CSS), comprenant le trouble dépressif majeur, le trouble bipolaire, le trouble anxieux</w:t>
      </w:r>
      <w:r>
        <w:t xml:space="preserve">, </w:t>
      </w:r>
      <w:r w:rsidR="00C54C41">
        <w:t xml:space="preserve">le </w:t>
      </w:r>
      <w:r>
        <w:t>trouble de la consommation de substances psychoactives</w:t>
      </w:r>
      <w:r w:rsidR="00C54C41">
        <w:t xml:space="preserve"> </w:t>
      </w:r>
      <w:r>
        <w:t>et</w:t>
      </w:r>
      <w:r w:rsidR="00C54C41">
        <w:t xml:space="preserve"> la démence/delirium</w:t>
      </w:r>
      <w:r>
        <w:t>. Pour tous ces diagnostics, seuls les codes de diagnostic précédant la date d'hospita</w:t>
      </w:r>
      <w:r w:rsidR="00C54C41">
        <w:t xml:space="preserve">lisation ont été inclus. </w:t>
      </w:r>
    </w:p>
    <w:p w:rsidR="00D16E3E" w:rsidRPr="003C3EA0" w:rsidRDefault="001A1A31" w:rsidP="00D16E3E">
      <w:pPr>
        <w:spacing w:line="360" w:lineRule="auto"/>
      </w:pPr>
      <w:r>
        <w:t>Les modalités d’hospitalisation ont été déterminé</w:t>
      </w:r>
      <w:r w:rsidR="005543AB">
        <w:t>e</w:t>
      </w:r>
      <w:r>
        <w:t>s</w:t>
      </w:r>
      <w:r w:rsidR="00B03283">
        <w:t xml:space="preserve"> selon </w:t>
      </w:r>
      <w:r w:rsidR="0091780D">
        <w:t xml:space="preserve"> </w:t>
      </w:r>
      <w:r w:rsidR="00D16E3E">
        <w:t xml:space="preserve">l'admission dans l'unité de soins intensifs, </w:t>
      </w:r>
      <w:r w:rsidR="0091780D">
        <w:t xml:space="preserve">le lieu avant l'hospitalisation </w:t>
      </w:r>
      <w:r w:rsidR="00D16E3E">
        <w:t>et la dispos</w:t>
      </w:r>
      <w:r w:rsidR="00B03283">
        <w:t>ition de sortie ou la mortalité</w:t>
      </w:r>
      <w:r w:rsidR="00D16E3E">
        <w:t>.</w:t>
      </w:r>
      <w:r w:rsidR="0091780D">
        <w:t xml:space="preserve"> </w:t>
      </w:r>
      <w:r w:rsidR="00B03283">
        <w:t>L</w:t>
      </w:r>
      <w:r w:rsidR="00D16E3E">
        <w:t>a robustes</w:t>
      </w:r>
      <w:r w:rsidR="0091780D">
        <w:t>se des données manquantes</w:t>
      </w:r>
      <w:r w:rsidR="00293F63">
        <w:t xml:space="preserve"> a été assurée</w:t>
      </w:r>
      <w:r w:rsidR="00B03283">
        <w:t xml:space="preserve"> grâces à </w:t>
      </w:r>
      <w:r w:rsidR="00D16E3E">
        <w:t xml:space="preserve"> l'imputation médiane,</w:t>
      </w:r>
      <w:r w:rsidR="0091780D">
        <w:t xml:space="preserve"> </w:t>
      </w:r>
      <w:r w:rsidR="00D16E3E">
        <w:t xml:space="preserve">imputation </w:t>
      </w:r>
      <w:r w:rsidR="0091780D">
        <w:t xml:space="preserve">multiple </w:t>
      </w:r>
      <w:r w:rsidR="00D16E3E">
        <w:t>et</w:t>
      </w:r>
      <w:r w:rsidR="0091780D">
        <w:t xml:space="preserve"> </w:t>
      </w:r>
      <w:r w:rsidR="00B03283">
        <w:t xml:space="preserve">l'exclusion des individus </w:t>
      </w:r>
      <w:r w:rsidR="00D16E3E">
        <w:t xml:space="preserve">présentant des données manquantes. Les résultats ne diffèrent pas de </w:t>
      </w:r>
      <w:r w:rsidR="00B03283">
        <w:t xml:space="preserve">manière significative entre ces </w:t>
      </w:r>
      <w:r w:rsidR="00D16E3E">
        <w:t>méthodes.</w:t>
      </w:r>
      <w:r w:rsidR="00FA6EDE">
        <w:t xml:space="preserve"> </w:t>
      </w:r>
      <w:bookmarkStart w:id="0" w:name="_GoBack"/>
      <w:bookmarkEnd w:id="0"/>
    </w:p>
    <w:p w:rsidR="006B66AA" w:rsidRDefault="006B66AA" w:rsidP="006B66AA">
      <w:pPr>
        <w:spacing w:line="360" w:lineRule="auto"/>
      </w:pPr>
      <w:r>
        <w:t xml:space="preserve">Les domaines de symptômes ont été déterminés </w:t>
      </w:r>
      <w:r w:rsidR="00A03500">
        <w:t xml:space="preserve">par une méthode précédemment décrite </w:t>
      </w:r>
      <w:r>
        <w:t>pour estimer les phénotypes neuropsychia</w:t>
      </w:r>
      <w:r w:rsidR="00034991">
        <w:t>triques qui</w:t>
      </w:r>
      <w:r>
        <w:t xml:space="preserve"> utilise un ensemble d'expressions sélectionn</w:t>
      </w:r>
      <w:r w:rsidR="00B03283">
        <w:t>ées par des experts et associées</w:t>
      </w:r>
      <w:r>
        <w:t xml:space="preserve"> au critères du domaine de recherche du Nati</w:t>
      </w:r>
      <w:r w:rsidR="00A03500">
        <w:t xml:space="preserve">onal Institute of Mental </w:t>
      </w:r>
      <w:proofErr w:type="spellStart"/>
      <w:r w:rsidR="00A03500">
        <w:t>Health</w:t>
      </w:r>
      <w:proofErr w:type="spellEnd"/>
      <w:r w:rsidR="00A03500">
        <w:t xml:space="preserve"> </w:t>
      </w:r>
      <w:r w:rsidR="00B03283">
        <w:t>(NIMH).</w:t>
      </w:r>
      <w:r w:rsidR="00A03500">
        <w:t xml:space="preserve"> </w:t>
      </w:r>
      <w:r>
        <w:t xml:space="preserve">Ces scores </w:t>
      </w:r>
      <w:r w:rsidR="00B03283">
        <w:t xml:space="preserve">ont été </w:t>
      </w:r>
      <w:r>
        <w:t>validés par rapport à l'examen d'un clinicien</w:t>
      </w:r>
      <w:r w:rsidR="00A03500">
        <w:t>.</w:t>
      </w:r>
      <w:r>
        <w:t xml:space="preserve"> Dans le cadre de cette étude, </w:t>
      </w:r>
      <w:r w:rsidR="00A03500">
        <w:t xml:space="preserve">il a été examiné principalement les </w:t>
      </w:r>
      <w:r>
        <w:t>sy</w:t>
      </w:r>
      <w:r w:rsidR="00A03500">
        <w:t xml:space="preserve">mptômes dépressifs, la consommation de substances, l’impulsivité, la manie </w:t>
      </w:r>
      <w:r>
        <w:t>e</w:t>
      </w:r>
      <w:r w:rsidR="00A03500">
        <w:t xml:space="preserve">t la cognition globale. Lorsque </w:t>
      </w:r>
      <w:r>
        <w:t xml:space="preserve">plusieurs notes étaient disponibles pour la date d'admission </w:t>
      </w:r>
      <w:r w:rsidR="00A03500">
        <w:t xml:space="preserve">un </w:t>
      </w:r>
      <w:r>
        <w:t>seul score par domain</w:t>
      </w:r>
      <w:r w:rsidR="00A03500">
        <w:t>e et par individu a été analysé</w:t>
      </w:r>
      <w:r>
        <w:t>.</w:t>
      </w:r>
    </w:p>
    <w:p w:rsidR="003C3EA0" w:rsidRDefault="006B66AA" w:rsidP="006B66AA">
      <w:pPr>
        <w:spacing w:line="360" w:lineRule="auto"/>
        <w:rPr>
          <w:b/>
          <w:color w:val="14501A"/>
          <w:sz w:val="40"/>
          <w:u w:val="single"/>
        </w:rPr>
      </w:pPr>
      <w:r w:rsidRPr="00B67470">
        <w:rPr>
          <w:b/>
          <w:color w:val="14501A"/>
          <w:sz w:val="40"/>
          <w:u w:val="single"/>
        </w:rPr>
        <w:t>RÉSULTATS</w:t>
      </w:r>
      <w:r w:rsidR="00625CE4" w:rsidRPr="00B67470">
        <w:rPr>
          <w:b/>
          <w:color w:val="14501A"/>
          <w:sz w:val="40"/>
          <w:u w:val="single"/>
        </w:rPr>
        <w:t> :</w:t>
      </w:r>
    </w:p>
    <w:p w:rsidR="006B66AA" w:rsidRPr="003C3EA0" w:rsidRDefault="00B67470" w:rsidP="006B66AA">
      <w:pPr>
        <w:spacing w:line="360" w:lineRule="auto"/>
        <w:rPr>
          <w:b/>
          <w:color w:val="14501A"/>
          <w:sz w:val="40"/>
          <w:u w:val="single"/>
        </w:rPr>
      </w:pPr>
      <w:r>
        <w:t xml:space="preserve">Au total, 2 988 personnes </w:t>
      </w:r>
      <w:r w:rsidR="006B66AA">
        <w:t>positives pour le SRAS-CoV-2 ont été hospital</w:t>
      </w:r>
      <w:r>
        <w:t>isées du</w:t>
      </w:r>
      <w:r w:rsidR="00962A5D">
        <w:t xml:space="preserve"> 24 mai 2020</w:t>
      </w:r>
      <w:r w:rsidR="006B66AA">
        <w:t>. La cohorte é</w:t>
      </w:r>
      <w:r w:rsidR="00962A5D">
        <w:t>tait composée à 53,4 % d'</w:t>
      </w:r>
      <w:r w:rsidR="006B66AA">
        <w:t>hommes, 51,1 % de Blancs et 28,1 % d'Hispaniques, avec un âge moyen de 62,8</w:t>
      </w:r>
      <w:r>
        <w:t xml:space="preserve"> ans</w:t>
      </w:r>
      <w:r w:rsidR="006B66AA">
        <w:t xml:space="preserve">. La majorité (55,3 %) a été hospitalisée dans des centres médicaux universitaires ; </w:t>
      </w:r>
      <w:r w:rsidR="006B66AA">
        <w:lastRenderedPageBreak/>
        <w:t>15,4 % sont décédés pendant l'hospitalisation. Sur les 2 481</w:t>
      </w:r>
      <w:r w:rsidR="00962A5D">
        <w:t xml:space="preserve"> personnes sortantes</w:t>
      </w:r>
      <w:r w:rsidR="006B66AA">
        <w:t>, 1 352 (54,5 %) ont été placées dans un centre de réadaptation ou de soins infirmiers spécialisés.</w:t>
      </w:r>
    </w:p>
    <w:p w:rsidR="00962A5D" w:rsidRDefault="006B66AA" w:rsidP="00962A5D">
      <w:pPr>
        <w:spacing w:line="360" w:lineRule="auto"/>
      </w:pPr>
      <w:r>
        <w:t xml:space="preserve">La </w:t>
      </w:r>
      <w:r w:rsidR="00962A5D">
        <w:t>courbe de</w:t>
      </w:r>
      <w:r>
        <w:t xml:space="preserve"> survie de Kaplan-Meier illustre une différence minime dans l'évolution précoce mais un </w:t>
      </w:r>
      <w:r w:rsidRPr="009B7721">
        <w:rPr>
          <w:b/>
        </w:rPr>
        <w:t>risque nettement plus élev</w:t>
      </w:r>
      <w:r w:rsidR="00962A5D" w:rsidRPr="009B7721">
        <w:rPr>
          <w:b/>
        </w:rPr>
        <w:t>é</w:t>
      </w:r>
      <w:r w:rsidR="00962A5D">
        <w:t xml:space="preserve"> chez les personnes </w:t>
      </w:r>
      <w:r>
        <w:t xml:space="preserve">dont le </w:t>
      </w:r>
      <w:r w:rsidRPr="009B7721">
        <w:rPr>
          <w:b/>
        </w:rPr>
        <w:t>trouble de l'humeur</w:t>
      </w:r>
      <w:r>
        <w:t xml:space="preserve"> a été diagnostiqué </w:t>
      </w:r>
      <w:r w:rsidRPr="009B7721">
        <w:rPr>
          <w:b/>
        </w:rPr>
        <w:t>avant</w:t>
      </w:r>
      <w:r>
        <w:t xml:space="preserve"> l</w:t>
      </w:r>
      <w:r w:rsidR="00962A5D">
        <w:t>e dixième jour d'hospitalisation.</w:t>
      </w:r>
    </w:p>
    <w:p w:rsidR="009B7721" w:rsidRDefault="006B66AA" w:rsidP="00482F3D">
      <w:pPr>
        <w:spacing w:line="360" w:lineRule="auto"/>
      </w:pPr>
      <w:r>
        <w:t>Pour tenir compte des</w:t>
      </w:r>
      <w:r w:rsidR="00962A5D">
        <w:t xml:space="preserve"> effet</w:t>
      </w:r>
      <w:r w:rsidR="00482F3D">
        <w:t>s variables dans le temps et</w:t>
      </w:r>
      <w:r w:rsidR="00962A5D">
        <w:t xml:space="preserve"> du</w:t>
      </w:r>
      <w:r>
        <w:t xml:space="preserve"> </w:t>
      </w:r>
      <w:r w:rsidR="00482F3D">
        <w:t xml:space="preserve">moment du </w:t>
      </w:r>
      <w:r>
        <w:t>diagnostic de</w:t>
      </w:r>
      <w:r w:rsidR="00962A5D">
        <w:t xml:space="preserve"> trouble de </w:t>
      </w:r>
      <w:r>
        <w:t xml:space="preserve"> l'humeur </w:t>
      </w:r>
      <w:r w:rsidR="00482F3D">
        <w:t xml:space="preserve">les </w:t>
      </w:r>
      <w:r>
        <w:t>données ont été divisées en deux parties : avant et ap</w:t>
      </w:r>
      <w:r w:rsidR="005543AB">
        <w:t xml:space="preserve">rès le 12e jour. Dans les deux </w:t>
      </w:r>
      <w:r>
        <w:t xml:space="preserve">modèles, les </w:t>
      </w:r>
      <w:r w:rsidR="00482F3D" w:rsidRPr="009B7721">
        <w:rPr>
          <w:b/>
        </w:rPr>
        <w:t>troubles de l'humeur antérieurs</w:t>
      </w:r>
      <w:r w:rsidR="00482F3D">
        <w:t xml:space="preserve"> </w:t>
      </w:r>
      <w:r>
        <w:t xml:space="preserve">était </w:t>
      </w:r>
      <w:r w:rsidRPr="009B7721">
        <w:rPr>
          <w:b/>
        </w:rPr>
        <w:t>significative</w:t>
      </w:r>
      <w:r w:rsidR="00482F3D" w:rsidRPr="009B7721">
        <w:rPr>
          <w:b/>
        </w:rPr>
        <w:t>ment associé au risque de décès</w:t>
      </w:r>
      <w:r w:rsidR="009B7721">
        <w:t xml:space="preserve"> </w:t>
      </w:r>
      <w:r>
        <w:t>plus tard au cours de l'hospitalisation.</w:t>
      </w:r>
      <w:r w:rsidR="009B7721">
        <w:t xml:space="preserve"> </w:t>
      </w:r>
      <w:r w:rsidR="00482F3D">
        <w:t xml:space="preserve">De même, </w:t>
      </w:r>
      <w:r w:rsidR="00482F3D" w:rsidRPr="009B7721">
        <w:rPr>
          <w:b/>
        </w:rPr>
        <w:t>l'effet d'augmentation du risque</w:t>
      </w:r>
      <w:r w:rsidR="00482F3D">
        <w:t xml:space="preserve"> lié au diagnostic de trouble de l'humeur </w:t>
      </w:r>
      <w:r w:rsidR="00482F3D" w:rsidRPr="009B7721">
        <w:rPr>
          <w:b/>
        </w:rPr>
        <w:t>après 12 jours a persisté</w:t>
      </w:r>
      <w:r w:rsidR="00482F3D">
        <w:t xml:space="preserve">. </w:t>
      </w:r>
    </w:p>
    <w:p w:rsidR="00482F3D" w:rsidRDefault="00482F3D" w:rsidP="00482F3D">
      <w:pPr>
        <w:spacing w:line="360" w:lineRule="auto"/>
      </w:pPr>
      <w:r>
        <w:t>Il a ensuite été examiné la probabilité de sortie de l'hôpital vers d’autres sites de santé</w:t>
      </w:r>
      <w:r w:rsidR="009B7721">
        <w:t xml:space="preserve"> que le domicile</w:t>
      </w:r>
      <w:r>
        <w:t xml:space="preserve">; comme mesure de la morbidité post-aiguë. Comme pour les analyses de mortalité, les </w:t>
      </w:r>
      <w:r w:rsidRPr="009B7721">
        <w:rPr>
          <w:b/>
        </w:rPr>
        <w:t>antécédents de diagnostic de troubles de l'humeur</w:t>
      </w:r>
      <w:r>
        <w:t xml:space="preserve"> étaient associés à une </w:t>
      </w:r>
      <w:r w:rsidRPr="009B7721">
        <w:rPr>
          <w:b/>
        </w:rPr>
        <w:t xml:space="preserve">augmentation </w:t>
      </w:r>
      <w:r>
        <w:t xml:space="preserve">statistiquement significative du </w:t>
      </w:r>
      <w:r w:rsidRPr="009B7721">
        <w:rPr>
          <w:b/>
        </w:rPr>
        <w:t>risque de sortie en réadaptation</w:t>
      </w:r>
      <w:r w:rsidR="009B7721">
        <w:t xml:space="preserve"> </w:t>
      </w:r>
      <w:r w:rsidR="009B7721" w:rsidRPr="009B7721">
        <w:rPr>
          <w:b/>
        </w:rPr>
        <w:t>médicale</w:t>
      </w:r>
      <w:r>
        <w:t xml:space="preserve"> par rapport à une sortie à domicile. </w:t>
      </w:r>
    </w:p>
    <w:p w:rsidR="009B7721" w:rsidRDefault="009B7721" w:rsidP="00482F3D">
      <w:pPr>
        <w:spacing w:line="360" w:lineRule="auto"/>
        <w:rPr>
          <w:b/>
          <w:color w:val="14501A"/>
          <w:sz w:val="40"/>
          <w:u w:val="single"/>
        </w:rPr>
      </w:pPr>
      <w:r>
        <w:rPr>
          <w:b/>
          <w:color w:val="14501A"/>
          <w:sz w:val="40"/>
          <w:u w:val="single"/>
        </w:rPr>
        <w:t>DISCUSSION :</w:t>
      </w:r>
    </w:p>
    <w:p w:rsidR="00482F3D" w:rsidRPr="009B7721" w:rsidRDefault="00482F3D" w:rsidP="00482F3D">
      <w:pPr>
        <w:spacing w:line="360" w:lineRule="auto"/>
        <w:rPr>
          <w:b/>
          <w:color w:val="14501A"/>
          <w:sz w:val="40"/>
          <w:u w:val="single"/>
        </w:rPr>
      </w:pPr>
      <w:r>
        <w:t>Dans cette étude portant sur 2 988 patients atteints de COVID-19 hospitalisés avant le</w:t>
      </w:r>
      <w:r w:rsidR="009B7721">
        <w:rPr>
          <w:b/>
          <w:color w:val="14501A"/>
          <w:sz w:val="40"/>
        </w:rPr>
        <w:t xml:space="preserve"> </w:t>
      </w:r>
      <w:r>
        <w:t xml:space="preserve">24 mai 2020 dans six hôpitaux, les auteurs ont constaté qu'un </w:t>
      </w:r>
      <w:r w:rsidRPr="009B7721">
        <w:rPr>
          <w:b/>
        </w:rPr>
        <w:t>diagnostic de trouble de l'humeur avant l'hospitalisation</w:t>
      </w:r>
      <w:r>
        <w:t xml:space="preserve"> était associé à un </w:t>
      </w:r>
      <w:r w:rsidRPr="009B7721">
        <w:rPr>
          <w:b/>
        </w:rPr>
        <w:t>risque élevé de mortalité</w:t>
      </w:r>
      <w:r>
        <w:t xml:space="preserve"> et à une </w:t>
      </w:r>
      <w:r w:rsidRPr="009B7721">
        <w:rPr>
          <w:b/>
        </w:rPr>
        <w:t>probabilité plus grande d'avoir besoin d'une réadaptation</w:t>
      </w:r>
      <w:r>
        <w:t xml:space="preserve"> post-hospitalisation. Ces risques n'étaient pas entièrement attribuables aux différences sociodémographiques, </w:t>
      </w:r>
      <w:r w:rsidR="00034991">
        <w:t>ni aux autres facteurs étudiés.</w:t>
      </w:r>
    </w:p>
    <w:p w:rsidR="00482F3D" w:rsidRDefault="009B7721" w:rsidP="00482F3D">
      <w:pPr>
        <w:spacing w:line="360" w:lineRule="auto"/>
      </w:pPr>
      <w:r>
        <w:t xml:space="preserve">Etant donné que </w:t>
      </w:r>
      <w:r w:rsidR="00482F3D">
        <w:t xml:space="preserve">la documentation des symptômes psychiatriques a été réduite </w:t>
      </w:r>
      <w:r w:rsidR="00377A4C">
        <w:t xml:space="preserve">dans les services </w:t>
      </w:r>
      <w:r>
        <w:t xml:space="preserve">d'urgence avec l’apparition de </w:t>
      </w:r>
      <w:proofErr w:type="spellStart"/>
      <w:r>
        <w:t>Covid</w:t>
      </w:r>
      <w:proofErr w:type="spellEnd"/>
      <w:r>
        <w:t xml:space="preserve"> 19</w:t>
      </w:r>
      <w:r w:rsidR="00482F3D">
        <w:t xml:space="preserve">; </w:t>
      </w:r>
      <w:r w:rsidR="00034991">
        <w:t xml:space="preserve"> </w:t>
      </w:r>
      <w:r w:rsidR="00377A4C">
        <w:t>la possibilité</w:t>
      </w:r>
      <w:r>
        <w:t xml:space="preserve"> que</w:t>
      </w:r>
      <w:r w:rsidR="00377A4C">
        <w:t xml:space="preserve"> l'augmentation du risque </w:t>
      </w:r>
      <w:r w:rsidR="00482F3D">
        <w:t xml:space="preserve">est attribuable à des symptômes aigus ainsi qu'à </w:t>
      </w:r>
      <w:r w:rsidR="00377A4C">
        <w:t>des symptômes à plus long terme ne peut donc être exclue.</w:t>
      </w:r>
    </w:p>
    <w:p w:rsidR="00377A4C" w:rsidRDefault="009B7721" w:rsidP="00377A4C">
      <w:pPr>
        <w:spacing w:line="360" w:lineRule="auto"/>
      </w:pPr>
      <w:r>
        <w:t xml:space="preserve">    </w:t>
      </w:r>
      <w:r w:rsidR="00AC0510">
        <w:t>Dans l'ensemble, les r</w:t>
      </w:r>
      <w:r w:rsidR="00377A4C">
        <w:t>ésultats</w:t>
      </w:r>
      <w:r w:rsidR="00AC0510">
        <w:t xml:space="preserve"> de l’étude</w:t>
      </w:r>
      <w:r w:rsidR="00377A4C">
        <w:t xml:space="preserve"> so</w:t>
      </w:r>
      <w:r w:rsidR="00AC0510">
        <w:t xml:space="preserve">ulignent l'urgente nécessité de </w:t>
      </w:r>
      <w:r w:rsidR="00377A4C">
        <w:t>mieux comprendre les effets potentiels de COVID-19 sur le SNC et com</w:t>
      </w:r>
      <w:r w:rsidR="00AC0510">
        <w:t>ment</w:t>
      </w:r>
      <w:r w:rsidR="00377A4C">
        <w:t xml:space="preserve"> ils peuvent interagir avec une mala</w:t>
      </w:r>
      <w:r w:rsidR="006A384D">
        <w:t xml:space="preserve">die psychiatrique préexistante. </w:t>
      </w:r>
      <w:r w:rsidR="00034991">
        <w:t xml:space="preserve">Par exemple, dans une </w:t>
      </w:r>
      <w:r w:rsidR="00377A4C">
        <w:t>étude</w:t>
      </w:r>
      <w:r w:rsidR="00034991">
        <w:t xml:space="preserve"> française de Juin 2020 :</w:t>
      </w:r>
      <w:r w:rsidR="00377A4C">
        <w:t xml:space="preserve"> la plus com</w:t>
      </w:r>
      <w:r w:rsidR="00AC0510">
        <w:t>plète réalisée à ce jour</w:t>
      </w:r>
      <w:r w:rsidR="006A384D">
        <w:t>,</w:t>
      </w:r>
      <w:r w:rsidR="00034991">
        <w:t xml:space="preserve"> </w:t>
      </w:r>
      <w:r w:rsidR="006A384D">
        <w:t>parmi</w:t>
      </w:r>
      <w:r w:rsidR="00AC0510">
        <w:t xml:space="preserve"> </w:t>
      </w:r>
      <w:r w:rsidR="00377A4C">
        <w:t>58 patients de l'unit</w:t>
      </w:r>
      <w:r w:rsidR="006A384D">
        <w:t>é de soins intensifs</w:t>
      </w:r>
      <w:r w:rsidR="00377A4C">
        <w:t xml:space="preserve"> CO</w:t>
      </w:r>
      <w:r w:rsidR="00AC0510">
        <w:t xml:space="preserve">VID-19, près de 70 % </w:t>
      </w:r>
      <w:r w:rsidR="006A384D">
        <w:t>présentaient une agitation ou une</w:t>
      </w:r>
      <w:r w:rsidR="00AC0510">
        <w:t xml:space="preserve"> confusion, et </w:t>
      </w:r>
      <w:r w:rsidR="00377A4C">
        <w:t xml:space="preserve">une </w:t>
      </w:r>
      <w:proofErr w:type="spellStart"/>
      <w:r w:rsidR="00377A4C">
        <w:t>hypoperfusion</w:t>
      </w:r>
      <w:proofErr w:type="spellEnd"/>
      <w:r w:rsidR="00377A4C">
        <w:t xml:space="preserve"> </w:t>
      </w:r>
      <w:proofErr w:type="spellStart"/>
      <w:r w:rsidR="00377A4C">
        <w:t>fronto</w:t>
      </w:r>
      <w:proofErr w:type="spellEnd"/>
      <w:r w:rsidR="00377A4C">
        <w:t>-temporale bilatérale</w:t>
      </w:r>
      <w:r w:rsidR="006A384D">
        <w:t xml:space="preserve"> à l’IRM</w:t>
      </w:r>
      <w:r w:rsidR="00377A4C">
        <w:t xml:space="preserve"> chez 11 patients s</w:t>
      </w:r>
      <w:r w:rsidR="006A384D">
        <w:t>ymptomatiques.</w:t>
      </w:r>
      <w:r w:rsidR="00034991">
        <w:t xml:space="preserve"> Ainsi, l</w:t>
      </w:r>
      <w:r w:rsidR="00377A4C">
        <w:t>a réponse immunitaire systémique, en particulier le syndrom</w:t>
      </w:r>
      <w:r w:rsidR="00AC0510">
        <w:t xml:space="preserve">e de </w:t>
      </w:r>
      <w:r w:rsidR="00AC0510">
        <w:lastRenderedPageBreak/>
        <w:t>libération de cytokines</w:t>
      </w:r>
      <w:r w:rsidR="00377A4C">
        <w:t>, peut contribuer aux</w:t>
      </w:r>
      <w:r w:rsidR="00137E72">
        <w:t xml:space="preserve"> effets de COVID-19 sur le SNC, et vu </w:t>
      </w:r>
      <w:r w:rsidR="00377A4C">
        <w:t xml:space="preserve">la relation complexe et </w:t>
      </w:r>
      <w:r w:rsidR="00034991">
        <w:t>bidirectionnelle</w:t>
      </w:r>
      <w:r w:rsidR="00377A4C">
        <w:t xml:space="preserve"> entre la dépression majeure et l</w:t>
      </w:r>
      <w:r w:rsidR="00AC0510">
        <w:t>'inflammation</w:t>
      </w:r>
      <w:r w:rsidR="00377A4C">
        <w:t>, de nombreux mécanismes peuvent contribuer au risque élevé d'effets indésirables chez les personnes souffrant de troubles de l'humeur.</w:t>
      </w:r>
    </w:p>
    <w:p w:rsidR="00377A4C" w:rsidRDefault="00034991" w:rsidP="00377A4C">
      <w:pPr>
        <w:spacing w:line="360" w:lineRule="auto"/>
      </w:pPr>
      <w:r>
        <w:t>Il est à noter</w:t>
      </w:r>
      <w:r w:rsidR="00377A4C">
        <w:t xml:space="preserve"> plusieurs li</w:t>
      </w:r>
      <w:r w:rsidR="00137E72">
        <w:t xml:space="preserve">mites importantes à cette étude ; </w:t>
      </w:r>
    </w:p>
    <w:p w:rsidR="00377A4C" w:rsidRDefault="00137E72" w:rsidP="00377A4C">
      <w:pPr>
        <w:spacing w:line="360" w:lineRule="auto"/>
      </w:pPr>
      <w:r>
        <w:t>La méthode d’utilisation des</w:t>
      </w:r>
      <w:r w:rsidR="00AC0510">
        <w:t xml:space="preserve"> dossiers</w:t>
      </w:r>
      <w:r w:rsidR="00377A4C">
        <w:t xml:space="preserve"> </w:t>
      </w:r>
      <w:r w:rsidR="00AC0510">
        <w:t xml:space="preserve">médicaux informatisés </w:t>
      </w:r>
      <w:r w:rsidR="00377A4C">
        <w:t xml:space="preserve"> n'a pas la précision d'une enquêt</w:t>
      </w:r>
      <w:r>
        <w:t xml:space="preserve">e clinique plus systématique </w:t>
      </w:r>
      <w:r w:rsidR="00AC0510">
        <w:t xml:space="preserve">qui sera nécessaire pour </w:t>
      </w:r>
      <w:r w:rsidR="00377A4C">
        <w:t xml:space="preserve">caractériser les phénotypes neuropsychiatriques de </w:t>
      </w:r>
      <w:r w:rsidR="00034991">
        <w:t xml:space="preserve">façon </w:t>
      </w:r>
      <w:r w:rsidR="00377A4C">
        <w:t>détaillée.</w:t>
      </w:r>
      <w:r w:rsidR="00F55E50">
        <w:t xml:space="preserve"> </w:t>
      </w:r>
      <w:r>
        <w:t>En second lieu,</w:t>
      </w:r>
      <w:r w:rsidR="00377A4C">
        <w:t xml:space="preserve"> l'absence d'un groupe de compara</w:t>
      </w:r>
      <w:r>
        <w:t>ison empêche</w:t>
      </w:r>
      <w:r w:rsidR="00AC0510">
        <w:t xml:space="preserve"> de </w:t>
      </w:r>
      <w:r w:rsidR="00377A4C">
        <w:t>déterminer dans quelle mesure les rés</w:t>
      </w:r>
      <w:r>
        <w:t>ultats négatifs reflètent</w:t>
      </w:r>
      <w:r w:rsidR="00F55E50">
        <w:t xml:space="preserve"> vraiment</w:t>
      </w:r>
      <w:r w:rsidR="00377A4C">
        <w:t xml:space="preserve"> les conséquences </w:t>
      </w:r>
      <w:r w:rsidR="00F55E50">
        <w:t xml:space="preserve">d’un trouble de l’humeur. </w:t>
      </w:r>
      <w:r w:rsidR="00377A4C">
        <w:t>Troisièmement, il est possible que ce</w:t>
      </w:r>
      <w:r w:rsidR="00AC0510">
        <w:t xml:space="preserve">s effets ne se généralisent pas </w:t>
      </w:r>
      <w:r w:rsidR="00377A4C">
        <w:t xml:space="preserve">aux hôpitaux dont le flux </w:t>
      </w:r>
      <w:r>
        <w:t>d'admissions est plus régulier vu la forte augmentation dans la région de Boston.</w:t>
      </w:r>
      <w:r w:rsidR="00AC0510">
        <w:t xml:space="preserve"> </w:t>
      </w:r>
    </w:p>
    <w:p w:rsidR="00EC6398" w:rsidRDefault="00EC6398" w:rsidP="005D3401">
      <w:pPr>
        <w:spacing w:line="360" w:lineRule="auto"/>
      </w:pPr>
      <w:r>
        <w:t>Ces résultats</w:t>
      </w:r>
      <w:r w:rsidR="00377A4C">
        <w:t xml:space="preserve"> suggèrent la nécessité d'envisager des stratégies pour aborder l'implicati</w:t>
      </w:r>
      <w:r w:rsidR="00AC0510">
        <w:t xml:space="preserve">on du cerveau dans le COVID-19, </w:t>
      </w:r>
      <w:r w:rsidR="00377A4C">
        <w:t xml:space="preserve">même lorsque d'autres conséquences peuvent être plus </w:t>
      </w:r>
      <w:proofErr w:type="gramStart"/>
      <w:r w:rsidR="00034991">
        <w:t>apparentes</w:t>
      </w:r>
      <w:proofErr w:type="gramEnd"/>
      <w:r w:rsidR="00AC0510">
        <w:t xml:space="preserve">. </w:t>
      </w:r>
      <w:r w:rsidR="00377A4C">
        <w:t>Il est es</w:t>
      </w:r>
      <w:r w:rsidR="00AC0510">
        <w:t xml:space="preserve">sentiel de suivre ces symptômes </w:t>
      </w:r>
      <w:r w:rsidR="00377A4C">
        <w:t xml:space="preserve">car il est possible </w:t>
      </w:r>
      <w:r>
        <w:t>que les symptômes neurologiques</w:t>
      </w:r>
      <w:r w:rsidR="00AC0510">
        <w:t xml:space="preserve"> </w:t>
      </w:r>
      <w:r>
        <w:t xml:space="preserve">persistent </w:t>
      </w:r>
      <w:r w:rsidR="00AC0510">
        <w:t xml:space="preserve">chez </w:t>
      </w:r>
      <w:r>
        <w:t xml:space="preserve">un </w:t>
      </w:r>
      <w:r w:rsidR="00377A4C">
        <w:t>ensemble de patients</w:t>
      </w:r>
      <w:r w:rsidR="00AC0510">
        <w:t xml:space="preserve"> </w:t>
      </w:r>
      <w:r w:rsidR="00377A4C">
        <w:t xml:space="preserve"> con</w:t>
      </w:r>
      <w:r>
        <w:t xml:space="preserve">tribuant à la nécessité de  sorties en </w:t>
      </w:r>
      <w:r w:rsidR="00377A4C">
        <w:t>institution</w:t>
      </w:r>
      <w:r>
        <w:t>s plutôt qu’</w:t>
      </w:r>
      <w:r w:rsidR="00377A4C">
        <w:t xml:space="preserve">à domicile. </w:t>
      </w:r>
    </w:p>
    <w:p w:rsidR="00377A4C" w:rsidRDefault="00034991" w:rsidP="005D3401">
      <w:pPr>
        <w:spacing w:line="360" w:lineRule="auto"/>
      </w:pPr>
      <w:r>
        <w:t>Egalement, ils soulèvent</w:t>
      </w:r>
      <w:r w:rsidR="00377A4C">
        <w:t xml:space="preserve"> l'importance d'inclure les symptômes des maladies neurologiques et psy</w:t>
      </w:r>
      <w:r w:rsidR="00EC6398">
        <w:t xml:space="preserve">chiatriques dans la </w:t>
      </w:r>
      <w:r w:rsidR="00377A4C">
        <w:t>surveillance du COVID-19. Jusqu'à présent,</w:t>
      </w:r>
      <w:r w:rsidR="00AC0510">
        <w:t xml:space="preserve"> </w:t>
      </w:r>
      <w:r w:rsidR="00377A4C">
        <w:t>la plupart des rapports sur les présentations dites</w:t>
      </w:r>
      <w:r w:rsidR="005D3401">
        <w:t xml:space="preserve"> asymptomatiques se concentrent </w:t>
      </w:r>
      <w:r w:rsidR="00377A4C">
        <w:t>sur les symptômes pulmonaires ou</w:t>
      </w:r>
      <w:r w:rsidR="005D3401">
        <w:t xml:space="preserve"> généraux de l'infection uniquement</w:t>
      </w:r>
      <w:r w:rsidR="00377A4C">
        <w:t xml:space="preserve">. </w:t>
      </w:r>
    </w:p>
    <w:p w:rsidR="00482F3D" w:rsidRDefault="00EC6398" w:rsidP="00377A4C">
      <w:pPr>
        <w:spacing w:line="360" w:lineRule="auto"/>
      </w:pPr>
      <w:r>
        <w:t xml:space="preserve">        </w:t>
      </w:r>
      <w:r w:rsidR="00377A4C">
        <w:t xml:space="preserve">Dans l'ensemble, cette vaste étude de cohorte rétrospective </w:t>
      </w:r>
      <w:proofErr w:type="spellStart"/>
      <w:r w:rsidR="00377A4C">
        <w:t>multihospitalière</w:t>
      </w:r>
      <w:proofErr w:type="spellEnd"/>
      <w:r w:rsidR="00377A4C">
        <w:t xml:space="preserve"> suggère que la comorbidité psychiatrique, et les troubles de l'humeur en particulier, doivent être soigneusement pris en compte chez l</w:t>
      </w:r>
      <w:r>
        <w:t>es patients hospitalisés pour la</w:t>
      </w:r>
      <w:r w:rsidR="00377A4C">
        <w:t xml:space="preserve"> COVID</w:t>
      </w:r>
      <w:r w:rsidR="005D3401">
        <w:t xml:space="preserve">-19. Le mécanisme par lequel un </w:t>
      </w:r>
      <w:r w:rsidR="00377A4C">
        <w:t>d'humeur préexistant peut influencer l'évolution et le résultat de l'hospitalisat</w:t>
      </w:r>
      <w:r w:rsidR="005D3401">
        <w:t xml:space="preserve">ion mérite d'être </w:t>
      </w:r>
      <w:r>
        <w:t xml:space="preserve">plus étudié </w:t>
      </w:r>
      <w:r w:rsidR="00377A4C">
        <w:t>dans</w:t>
      </w:r>
      <w:r w:rsidR="005D3401">
        <w:t xml:space="preserve"> de grandes cohortes cliniques, </w:t>
      </w:r>
      <w:r w:rsidR="00377A4C">
        <w:t>ainsi qu'au niveau neurobiologique.</w:t>
      </w:r>
    </w:p>
    <w:p w:rsidR="006B66AA" w:rsidRDefault="006B66AA" w:rsidP="006B66AA">
      <w:pPr>
        <w:spacing w:line="360" w:lineRule="auto"/>
      </w:pPr>
    </w:p>
    <w:p w:rsidR="00D16E3E" w:rsidRDefault="003C3EA0" w:rsidP="00F55E50">
      <w:pPr>
        <w:spacing w:line="360" w:lineRule="auto"/>
        <w:jc w:val="right"/>
        <w:rPr>
          <w:b/>
          <w:i/>
          <w:sz w:val="18"/>
        </w:rPr>
      </w:pPr>
      <w:r>
        <w:rPr>
          <w:b/>
          <w:i/>
          <w:sz w:val="18"/>
        </w:rPr>
        <w:t xml:space="preserve">Dr </w:t>
      </w:r>
      <w:proofErr w:type="spellStart"/>
      <w:r w:rsidR="00F55E50" w:rsidRPr="00F55E50">
        <w:rPr>
          <w:b/>
          <w:i/>
          <w:sz w:val="18"/>
        </w:rPr>
        <w:t>Salehddine</w:t>
      </w:r>
      <w:proofErr w:type="spellEnd"/>
      <w:r w:rsidR="00F55E50" w:rsidRPr="00F55E50">
        <w:rPr>
          <w:b/>
          <w:i/>
          <w:sz w:val="18"/>
        </w:rPr>
        <w:t xml:space="preserve"> Zineb</w:t>
      </w:r>
    </w:p>
    <w:p w:rsidR="003C3EA0" w:rsidRDefault="003C3EA0" w:rsidP="00F55E50">
      <w:pPr>
        <w:spacing w:line="360" w:lineRule="auto"/>
        <w:jc w:val="right"/>
        <w:rPr>
          <w:b/>
          <w:i/>
          <w:sz w:val="18"/>
        </w:rPr>
      </w:pPr>
      <w:r>
        <w:rPr>
          <w:b/>
          <w:i/>
          <w:sz w:val="18"/>
        </w:rPr>
        <w:t>Service de psychiatrie. Agadir</w:t>
      </w:r>
    </w:p>
    <w:p w:rsidR="003C3EA0" w:rsidRPr="00F55E50" w:rsidRDefault="003C3EA0" w:rsidP="00F55E50">
      <w:pPr>
        <w:spacing w:line="360" w:lineRule="auto"/>
        <w:jc w:val="right"/>
        <w:rPr>
          <w:b/>
          <w:i/>
        </w:rPr>
      </w:pPr>
      <w:r>
        <w:rPr>
          <w:b/>
          <w:i/>
          <w:sz w:val="18"/>
        </w:rPr>
        <w:t>Juillet 2021</w:t>
      </w:r>
    </w:p>
    <w:sectPr w:rsidR="003C3EA0" w:rsidRPr="00F5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65"/>
    <w:rsid w:val="00034991"/>
    <w:rsid w:val="00137E72"/>
    <w:rsid w:val="00140B17"/>
    <w:rsid w:val="001A1A31"/>
    <w:rsid w:val="00203757"/>
    <w:rsid w:val="00293F63"/>
    <w:rsid w:val="00377A4C"/>
    <w:rsid w:val="003B2925"/>
    <w:rsid w:val="003C3EA0"/>
    <w:rsid w:val="00482F3D"/>
    <w:rsid w:val="005543AB"/>
    <w:rsid w:val="005D3401"/>
    <w:rsid w:val="005E23B0"/>
    <w:rsid w:val="00625CE4"/>
    <w:rsid w:val="006A384D"/>
    <w:rsid w:val="006B66AA"/>
    <w:rsid w:val="00706265"/>
    <w:rsid w:val="0073614E"/>
    <w:rsid w:val="0091780D"/>
    <w:rsid w:val="009313E5"/>
    <w:rsid w:val="00962A5D"/>
    <w:rsid w:val="009B7721"/>
    <w:rsid w:val="00A03500"/>
    <w:rsid w:val="00AA168E"/>
    <w:rsid w:val="00AC0510"/>
    <w:rsid w:val="00AC3786"/>
    <w:rsid w:val="00B03283"/>
    <w:rsid w:val="00B67470"/>
    <w:rsid w:val="00C54C41"/>
    <w:rsid w:val="00D16E3E"/>
    <w:rsid w:val="00EC6398"/>
    <w:rsid w:val="00F42BBF"/>
    <w:rsid w:val="00F55E50"/>
    <w:rsid w:val="00FA6EDE"/>
    <w:rsid w:val="00FC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77939-2320-48BA-9DC0-CA070DC8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3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1321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surface</cp:lastModifiedBy>
  <cp:revision>3</cp:revision>
  <dcterms:created xsi:type="dcterms:W3CDTF">2021-07-26T11:01:00Z</dcterms:created>
  <dcterms:modified xsi:type="dcterms:W3CDTF">2021-07-27T18:35:00Z</dcterms:modified>
</cp:coreProperties>
</file>