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5D" w:rsidRPr="00F0115D" w:rsidRDefault="00F0115D" w:rsidP="00F0115D">
      <w:pPr>
        <w:spacing w:line="360" w:lineRule="auto"/>
        <w:rPr>
          <w:rFonts w:ascii="Arial" w:hAnsi="Arial" w:cs="Arial"/>
          <w:b/>
          <w:bCs/>
          <w:sz w:val="20"/>
          <w:szCs w:val="20"/>
          <w:lang w:val="en-US"/>
        </w:rPr>
      </w:pPr>
      <w:r w:rsidRPr="00F0115D">
        <w:rPr>
          <w:rFonts w:ascii="Arial" w:hAnsi="Arial" w:cs="Arial"/>
          <w:b/>
          <w:noProof/>
          <w:color w:val="000000"/>
          <w:sz w:val="20"/>
          <w:szCs w:val="20"/>
          <w:lang w:eastAsia="fr-FR"/>
        </w:rPr>
        <mc:AlternateContent>
          <mc:Choice Requires="wps">
            <w:drawing>
              <wp:anchor distT="45720" distB="45720" distL="114300" distR="114300" simplePos="0" relativeHeight="251660288" behindDoc="0" locked="0" layoutInCell="1" allowOverlap="1">
                <wp:simplePos x="0" y="0"/>
                <wp:positionH relativeFrom="column">
                  <wp:posOffset>4524943</wp:posOffset>
                </wp:positionH>
                <wp:positionV relativeFrom="paragraph">
                  <wp:posOffset>38</wp:posOffset>
                </wp:positionV>
                <wp:extent cx="1675765" cy="272415"/>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272415"/>
                        </a:xfrm>
                        <a:prstGeom prst="rect">
                          <a:avLst/>
                        </a:prstGeom>
                        <a:solidFill>
                          <a:srgbClr val="FFFFFF"/>
                        </a:solidFill>
                        <a:ln w="9525">
                          <a:noFill/>
                          <a:miter lim="800000"/>
                          <a:headEnd/>
                          <a:tailEnd/>
                        </a:ln>
                      </wps:spPr>
                      <wps:txbx>
                        <w:txbxContent>
                          <w:p w:rsidR="00F0115D" w:rsidRPr="00F0115D" w:rsidRDefault="00F0115D" w:rsidP="00F0115D">
                            <w:pPr>
                              <w:jc w:val="center"/>
                              <w:rPr>
                                <w:rFonts w:ascii="Arial" w:hAnsi="Arial" w:cs="Arial"/>
                                <w:b/>
                              </w:rPr>
                            </w:pPr>
                            <w:r w:rsidRPr="00F0115D">
                              <w:rPr>
                                <w:rStyle w:val="fontstyle01"/>
                                <w:rFonts w:ascii="Arial" w:hAnsi="Arial" w:cs="Arial"/>
                                <w:b/>
                                <w:color w:val="auto"/>
                              </w:rPr>
                              <w:t>Publié le</w:t>
                            </w:r>
                            <w:r w:rsidRPr="00F0115D">
                              <w:t xml:space="preserve"> </w:t>
                            </w:r>
                            <w:r w:rsidRPr="00F0115D">
                              <w:rPr>
                                <w:rStyle w:val="fontstyle01"/>
                                <w:rFonts w:ascii="Arial" w:hAnsi="Arial" w:cs="Arial"/>
                                <w:b/>
                                <w:color w:val="auto"/>
                              </w:rPr>
                              <w:t>5 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356.3pt;margin-top:0;width:131.95pt;height:2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" stroked="f">
                <v:textbox>
                  <w:txbxContent>
                    <w:p w:rsidR="00F0115D" w:rsidRPr="00F0115D" w:rsidRDefault="00F0115D" w:rsidP="00F0115D">
                      <w:pPr>
                        <w:jc w:val="center"/>
                        <w:rPr>
                          <w:rFonts w:ascii="Arial" w:hAnsi="Arial" w:cs="Arial"/>
                          <w:b/>
                        </w:rPr>
                      </w:pPr>
                      <w:r w:rsidRPr="00F0115D">
                        <w:rPr>
                          <w:rStyle w:val="fontstyle01"/>
                          <w:rFonts w:ascii="Arial" w:hAnsi="Arial" w:cs="Arial"/>
                          <w:b/>
                          <w:color w:val="auto"/>
                        </w:rPr>
                        <w:t>Publié le</w:t>
                      </w:r>
                      <w:r w:rsidRPr="00F0115D">
                        <w:t xml:space="preserve"> </w:t>
                      </w:r>
                      <w:r w:rsidRPr="00F0115D">
                        <w:rPr>
                          <w:rStyle w:val="fontstyle01"/>
                          <w:rFonts w:ascii="Arial" w:hAnsi="Arial" w:cs="Arial"/>
                          <w:b/>
                          <w:color w:val="auto"/>
                        </w:rPr>
                        <w:t>5 May 2021</w:t>
                      </w:r>
                    </w:p>
                  </w:txbxContent>
                </v:textbox>
                <w10:wrap type="square"/>
              </v:shape>
            </w:pict>
          </mc:Fallback>
        </mc:AlternateContent>
      </w:r>
      <w:r w:rsidRPr="00F0115D">
        <w:rPr>
          <w:rFonts w:ascii="Arial" w:hAnsi="Arial" w:cs="Arial"/>
          <w:b/>
          <w:color w:val="000000"/>
          <w:sz w:val="20"/>
          <w:szCs w:val="20"/>
          <w:lang w:val="en-US"/>
        </w:rPr>
        <w:t>Molecular Psychiatry</w:t>
      </w:r>
      <w:r w:rsidRPr="00F0115D">
        <w:rPr>
          <w:rFonts w:ascii="Arial" w:hAnsi="Arial" w:cs="Arial"/>
          <w:b/>
          <w:color w:val="000000"/>
          <w:sz w:val="20"/>
          <w:szCs w:val="20"/>
          <w:lang w:val="en-US"/>
        </w:rPr>
        <w:br/>
        <w:t>https://doi.org/10.1038/s41380-021-01161-7</w:t>
      </w:r>
      <w:r w:rsidRPr="00F0115D">
        <w:rPr>
          <w:rFonts w:ascii="Arial" w:hAnsi="Arial" w:cs="Arial"/>
          <w:b/>
          <w:sz w:val="20"/>
          <w:szCs w:val="20"/>
          <w:lang w:val="en-US"/>
        </w:rPr>
        <w:t xml:space="preserve"> </w:t>
      </w:r>
      <w:r w:rsidRPr="00F0115D">
        <w:rPr>
          <w:rFonts w:ascii="Arial" w:hAnsi="Arial" w:cs="Arial"/>
          <w:b/>
          <w:noProof/>
          <w:sz w:val="20"/>
          <w:szCs w:val="20"/>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483</wp:posOffset>
            </wp:positionV>
            <wp:extent cx="1077595" cy="508000"/>
            <wp:effectExtent l="0" t="0" r="8255" b="6350"/>
            <wp:wrapTight wrapText="bothSides">
              <wp:wrapPolygon edited="0">
                <wp:start x="0" y="0"/>
                <wp:lineTo x="0" y="21060"/>
                <wp:lineTo x="21384" y="21060"/>
                <wp:lineTo x="21384" y="0"/>
                <wp:lineTo x="0" y="0"/>
              </wp:wrapPolygon>
            </wp:wrapTight>
            <wp:docPr id="2" name="Image 2" descr="Molecular Psychiatry: Link between nicotine and depression | SmokeFree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cular Psychiatry: Link between nicotine and depression | SmokeFreeBr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15D" w:rsidRPr="00F0115D" w:rsidRDefault="00F0115D" w:rsidP="006449A2">
      <w:pPr>
        <w:pBdr>
          <w:top w:val="single" w:sz="4" w:space="1" w:color="auto"/>
        </w:pBdr>
        <w:shd w:val="clear" w:color="auto" w:fill="F2F2F2" w:themeFill="background1" w:themeFillShade="F2"/>
        <w:spacing w:line="360" w:lineRule="auto"/>
        <w:jc w:val="both"/>
        <w:rPr>
          <w:rFonts w:ascii="Arial" w:hAnsi="Arial" w:cs="Arial"/>
          <w:b/>
          <w:bCs/>
          <w:sz w:val="20"/>
          <w:szCs w:val="20"/>
          <w:lang w:val="en-US"/>
        </w:rPr>
      </w:pPr>
    </w:p>
    <w:p w:rsidR="00F0115D" w:rsidRDefault="00F0115D" w:rsidP="006449A2">
      <w:pPr>
        <w:shd w:val="clear" w:color="auto" w:fill="F2F2F2" w:themeFill="background1" w:themeFillShade="F2"/>
        <w:spacing w:line="360" w:lineRule="auto"/>
        <w:jc w:val="center"/>
        <w:rPr>
          <w:rFonts w:ascii="Arial Black" w:hAnsi="Arial Black" w:cs="Arial"/>
          <w:b/>
          <w:bCs/>
          <w:szCs w:val="20"/>
        </w:rPr>
      </w:pPr>
      <w:r w:rsidRPr="00F0115D">
        <w:rPr>
          <w:rFonts w:ascii="Arial Black" w:hAnsi="Arial Black" w:cs="Arial"/>
          <w:b/>
          <w:bCs/>
          <w:szCs w:val="20"/>
        </w:rPr>
        <w:t xml:space="preserve">ÂGE D'APPARITION DES TROUBLES MENTAUX DANS LE MONDE : </w:t>
      </w:r>
    </w:p>
    <w:p w:rsidR="00F0115D" w:rsidRPr="00F0115D" w:rsidRDefault="00F0115D" w:rsidP="006449A2">
      <w:pPr>
        <w:shd w:val="clear" w:color="auto" w:fill="F2F2F2" w:themeFill="background1" w:themeFillShade="F2"/>
        <w:spacing w:line="360" w:lineRule="auto"/>
        <w:jc w:val="center"/>
        <w:rPr>
          <w:rFonts w:ascii="Arial Black" w:hAnsi="Arial Black" w:cs="Arial"/>
          <w:b/>
          <w:bCs/>
          <w:szCs w:val="20"/>
        </w:rPr>
      </w:pPr>
      <w:r w:rsidRPr="00F0115D">
        <w:rPr>
          <w:rFonts w:ascii="Arial Black" w:hAnsi="Arial Black" w:cs="Arial"/>
          <w:b/>
          <w:bCs/>
          <w:szCs w:val="20"/>
        </w:rPr>
        <w:t>META-ANALYSE A GRANDE ECHELLE DE 192 ETUDES EPIDEMIOLOGIQUES</w:t>
      </w:r>
    </w:p>
    <w:p w:rsidR="00F0115D" w:rsidRPr="006449A2" w:rsidRDefault="0062688A" w:rsidP="006449A2">
      <w:pPr>
        <w:pBdr>
          <w:bottom w:val="single" w:sz="4" w:space="1" w:color="auto"/>
        </w:pBdr>
        <w:shd w:val="clear" w:color="auto" w:fill="F2F2F2" w:themeFill="background1" w:themeFillShade="F2"/>
        <w:tabs>
          <w:tab w:val="center" w:pos="4703"/>
          <w:tab w:val="left" w:pos="6534"/>
        </w:tabs>
        <w:spacing w:line="360" w:lineRule="auto"/>
        <w:rPr>
          <w:rFonts w:ascii="Arial" w:hAnsi="Arial" w:cs="Arial"/>
          <w:b/>
          <w:bCs/>
          <w:sz w:val="18"/>
          <w:szCs w:val="20"/>
        </w:rPr>
      </w:pPr>
      <w:r w:rsidRPr="006449A2">
        <w:rPr>
          <w:rFonts w:ascii="Arial" w:hAnsi="Arial" w:cs="Arial"/>
          <w:b/>
          <w:sz w:val="18"/>
          <w:szCs w:val="20"/>
        </w:rPr>
        <w:tab/>
      </w:r>
      <w:r w:rsidR="00F0115D" w:rsidRPr="006449A2">
        <w:rPr>
          <w:rFonts w:ascii="Arial" w:hAnsi="Arial" w:cs="Arial"/>
          <w:b/>
          <w:sz w:val="18"/>
          <w:szCs w:val="20"/>
        </w:rPr>
        <w:t>Solmi M, Radua J, Olivola M et AL</w:t>
      </w:r>
      <w:r w:rsidRPr="006449A2">
        <w:rPr>
          <w:rFonts w:ascii="Arial" w:hAnsi="Arial" w:cs="Arial"/>
          <w:b/>
          <w:sz w:val="18"/>
          <w:szCs w:val="20"/>
        </w:rPr>
        <w:tab/>
      </w:r>
    </w:p>
    <w:p w:rsidR="00E949FA" w:rsidRDefault="00E949FA" w:rsidP="007644FD">
      <w:pPr>
        <w:spacing w:line="360" w:lineRule="auto"/>
        <w:jc w:val="both"/>
        <w:rPr>
          <w:rFonts w:ascii="Arial" w:hAnsi="Arial" w:cs="Arial"/>
          <w:b/>
          <w:bCs/>
          <w:sz w:val="20"/>
          <w:szCs w:val="20"/>
        </w:rPr>
      </w:pPr>
      <w:r>
        <w:rPr>
          <w:noProof/>
          <w:lang w:eastAsia="fr-FR"/>
        </w:rPr>
        <w:drawing>
          <wp:inline distT="0" distB="0" distL="0" distR="0" wp14:anchorId="38BC62AB" wp14:editId="065E3253">
            <wp:extent cx="5972810" cy="7620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810" cy="762000"/>
                    </a:xfrm>
                    <a:prstGeom prst="rect">
                      <a:avLst/>
                    </a:prstGeom>
                  </pic:spPr>
                </pic:pic>
              </a:graphicData>
            </a:graphic>
          </wp:inline>
        </w:drawing>
      </w:r>
      <w:bookmarkStart w:id="0" w:name="_GoBack"/>
      <w:bookmarkEnd w:id="0"/>
    </w:p>
    <w:p w:rsidR="00203183" w:rsidRPr="000F7265" w:rsidRDefault="00D102D5" w:rsidP="007644FD">
      <w:pPr>
        <w:spacing w:line="360" w:lineRule="auto"/>
        <w:jc w:val="both"/>
        <w:rPr>
          <w:rFonts w:ascii="Arial" w:hAnsi="Arial" w:cs="Arial"/>
          <w:b/>
          <w:bCs/>
          <w:sz w:val="20"/>
          <w:szCs w:val="20"/>
        </w:rPr>
      </w:pPr>
      <w:r w:rsidRPr="000F7265">
        <w:rPr>
          <w:rFonts w:ascii="Arial" w:hAnsi="Arial" w:cs="Arial"/>
          <w:b/>
          <w:bCs/>
          <w:sz w:val="20"/>
          <w:szCs w:val="20"/>
        </w:rPr>
        <w:t>INTRODUCTION</w:t>
      </w:r>
    </w:p>
    <w:p w:rsidR="00D102D5" w:rsidRPr="000F7265" w:rsidRDefault="00D102D5" w:rsidP="007644FD">
      <w:pPr>
        <w:spacing w:line="360" w:lineRule="auto"/>
        <w:jc w:val="both"/>
        <w:rPr>
          <w:rFonts w:ascii="Arial" w:hAnsi="Arial" w:cs="Arial"/>
          <w:sz w:val="20"/>
          <w:szCs w:val="20"/>
        </w:rPr>
      </w:pPr>
      <w:r w:rsidRPr="000F7265">
        <w:rPr>
          <w:rFonts w:ascii="Arial" w:hAnsi="Arial" w:cs="Arial"/>
          <w:sz w:val="20"/>
          <w:szCs w:val="20"/>
        </w:rPr>
        <w:t xml:space="preserve">Les personnes atteintes de troubles mentaux ont une </w:t>
      </w:r>
      <w:r w:rsidR="00474961" w:rsidRPr="000F7265">
        <w:rPr>
          <w:rFonts w:ascii="Arial" w:hAnsi="Arial" w:cs="Arial"/>
          <w:sz w:val="20"/>
          <w:szCs w:val="20"/>
        </w:rPr>
        <w:t xml:space="preserve">espérance de </w:t>
      </w:r>
      <w:r w:rsidRPr="000F7265">
        <w:rPr>
          <w:rFonts w:ascii="Arial" w:hAnsi="Arial" w:cs="Arial"/>
          <w:sz w:val="20"/>
          <w:szCs w:val="20"/>
        </w:rPr>
        <w:t>vie réduite</w:t>
      </w:r>
      <w:r w:rsidR="00474961" w:rsidRPr="000F7265">
        <w:rPr>
          <w:rFonts w:ascii="Arial" w:hAnsi="Arial" w:cs="Arial"/>
          <w:sz w:val="20"/>
          <w:szCs w:val="20"/>
        </w:rPr>
        <w:t xml:space="preserve"> </w:t>
      </w:r>
      <w:r w:rsidRPr="000F7265">
        <w:rPr>
          <w:rFonts w:ascii="Arial" w:hAnsi="Arial" w:cs="Arial"/>
          <w:sz w:val="20"/>
          <w:szCs w:val="20"/>
        </w:rPr>
        <w:t>de 10 à</w:t>
      </w:r>
      <w:r w:rsidR="00474961" w:rsidRPr="000F7265">
        <w:rPr>
          <w:rFonts w:ascii="Arial" w:hAnsi="Arial" w:cs="Arial"/>
          <w:sz w:val="20"/>
          <w:szCs w:val="20"/>
        </w:rPr>
        <w:t xml:space="preserve"> 15 ans par rapport à la </w:t>
      </w:r>
      <w:r w:rsidRPr="000F7265">
        <w:rPr>
          <w:rFonts w:ascii="Arial" w:hAnsi="Arial" w:cs="Arial"/>
          <w:sz w:val="20"/>
          <w:szCs w:val="20"/>
        </w:rPr>
        <w:t>population</w:t>
      </w:r>
      <w:r w:rsidR="00474961" w:rsidRPr="000F7265">
        <w:rPr>
          <w:rFonts w:ascii="Arial" w:hAnsi="Arial" w:cs="Arial"/>
          <w:sz w:val="20"/>
          <w:szCs w:val="20"/>
        </w:rPr>
        <w:t xml:space="preserve"> générale</w:t>
      </w:r>
      <w:r w:rsidRPr="000F7265">
        <w:rPr>
          <w:rFonts w:ascii="Arial" w:hAnsi="Arial" w:cs="Arial"/>
          <w:sz w:val="20"/>
          <w:szCs w:val="20"/>
        </w:rPr>
        <w:t xml:space="preserve">. </w:t>
      </w:r>
      <w:r w:rsidR="0068031E" w:rsidRPr="000F7265">
        <w:rPr>
          <w:rFonts w:ascii="Arial" w:hAnsi="Arial" w:cs="Arial"/>
          <w:sz w:val="20"/>
          <w:szCs w:val="20"/>
        </w:rPr>
        <w:t>Des i</w:t>
      </w:r>
      <w:r w:rsidRPr="000F7265">
        <w:rPr>
          <w:rFonts w:ascii="Arial" w:hAnsi="Arial" w:cs="Arial"/>
          <w:sz w:val="20"/>
          <w:szCs w:val="20"/>
        </w:rPr>
        <w:t>nterventions précoc</w:t>
      </w:r>
      <w:r w:rsidR="00761922" w:rsidRPr="000F7265">
        <w:rPr>
          <w:rFonts w:ascii="Arial" w:hAnsi="Arial" w:cs="Arial"/>
          <w:sz w:val="20"/>
          <w:szCs w:val="20"/>
        </w:rPr>
        <w:t>es dès la première apparition d</w:t>
      </w:r>
      <w:r w:rsidRPr="000F7265">
        <w:rPr>
          <w:rFonts w:ascii="Arial" w:hAnsi="Arial" w:cs="Arial"/>
          <w:sz w:val="20"/>
          <w:szCs w:val="20"/>
        </w:rPr>
        <w:t xml:space="preserve">es troubles mentaux </w:t>
      </w:r>
      <w:r w:rsidR="005F4368" w:rsidRPr="000F7265">
        <w:rPr>
          <w:rFonts w:ascii="Arial" w:hAnsi="Arial" w:cs="Arial"/>
          <w:sz w:val="20"/>
          <w:szCs w:val="20"/>
        </w:rPr>
        <w:t xml:space="preserve">ainsi que la prévention primaire chez les personnes à haut risque, </w:t>
      </w:r>
      <w:r w:rsidRPr="000F7265">
        <w:rPr>
          <w:rFonts w:ascii="Arial" w:hAnsi="Arial" w:cs="Arial"/>
          <w:sz w:val="20"/>
          <w:szCs w:val="20"/>
        </w:rPr>
        <w:t xml:space="preserve">peuvent améliorer </w:t>
      </w:r>
      <w:r w:rsidR="005F4368" w:rsidRPr="000F7265">
        <w:rPr>
          <w:rFonts w:ascii="Arial" w:hAnsi="Arial" w:cs="Arial"/>
          <w:sz w:val="20"/>
          <w:szCs w:val="20"/>
        </w:rPr>
        <w:t>le pronostic</w:t>
      </w:r>
      <w:r w:rsidRPr="000F7265">
        <w:rPr>
          <w:rFonts w:ascii="Arial" w:hAnsi="Arial" w:cs="Arial"/>
          <w:sz w:val="20"/>
          <w:szCs w:val="20"/>
        </w:rPr>
        <w:t>.</w:t>
      </w:r>
    </w:p>
    <w:p w:rsidR="00D102D5" w:rsidRPr="000F7265" w:rsidRDefault="004F0A04" w:rsidP="007644FD">
      <w:pPr>
        <w:spacing w:line="360" w:lineRule="auto"/>
        <w:jc w:val="both"/>
        <w:rPr>
          <w:rFonts w:ascii="Arial" w:hAnsi="Arial" w:cs="Arial"/>
          <w:sz w:val="20"/>
          <w:szCs w:val="20"/>
        </w:rPr>
      </w:pPr>
      <w:r>
        <w:rPr>
          <w:rFonts w:ascii="Arial" w:hAnsi="Arial" w:cs="Arial"/>
          <w:sz w:val="20"/>
          <w:szCs w:val="20"/>
        </w:rPr>
        <w:t>L</w:t>
      </w:r>
      <w:r w:rsidR="00D102D5" w:rsidRPr="000F7265">
        <w:rPr>
          <w:rFonts w:ascii="Arial" w:hAnsi="Arial" w:cs="Arial"/>
          <w:sz w:val="20"/>
          <w:szCs w:val="20"/>
        </w:rPr>
        <w:t>a prévention</w:t>
      </w:r>
      <w:r w:rsidR="00474961" w:rsidRPr="000F7265">
        <w:rPr>
          <w:rFonts w:ascii="Arial" w:hAnsi="Arial" w:cs="Arial"/>
          <w:sz w:val="20"/>
          <w:szCs w:val="20"/>
        </w:rPr>
        <w:t xml:space="preserve"> </w:t>
      </w:r>
      <w:r>
        <w:rPr>
          <w:rFonts w:ascii="Arial" w:hAnsi="Arial" w:cs="Arial"/>
          <w:sz w:val="20"/>
          <w:szCs w:val="20"/>
        </w:rPr>
        <w:t>et l'intervention précoce peuvent</w:t>
      </w:r>
      <w:r w:rsidR="00D102D5" w:rsidRPr="000F7265">
        <w:rPr>
          <w:rFonts w:ascii="Arial" w:hAnsi="Arial" w:cs="Arial"/>
          <w:sz w:val="20"/>
          <w:szCs w:val="20"/>
        </w:rPr>
        <w:t xml:space="preserve"> être mise en œuvre tout au long de la vie,</w:t>
      </w:r>
      <w:r>
        <w:rPr>
          <w:rFonts w:ascii="Arial" w:hAnsi="Arial" w:cs="Arial"/>
          <w:sz w:val="20"/>
          <w:szCs w:val="20"/>
        </w:rPr>
        <w:t xml:space="preserve"> et les avantages de ces interventions sont amplifiés</w:t>
      </w:r>
      <w:r w:rsidR="00D102D5" w:rsidRPr="000F7265">
        <w:rPr>
          <w:rFonts w:ascii="Arial" w:hAnsi="Arial" w:cs="Arial"/>
          <w:sz w:val="20"/>
          <w:szCs w:val="20"/>
        </w:rPr>
        <w:t xml:space="preserve"> lorsque les jeunes sont</w:t>
      </w:r>
      <w:r w:rsidR="00474961" w:rsidRPr="000F7265">
        <w:rPr>
          <w:rFonts w:ascii="Arial" w:hAnsi="Arial" w:cs="Arial"/>
          <w:sz w:val="20"/>
          <w:szCs w:val="20"/>
        </w:rPr>
        <w:t xml:space="preserve"> </w:t>
      </w:r>
      <w:r w:rsidR="0053608E" w:rsidRPr="000F7265">
        <w:rPr>
          <w:rFonts w:ascii="Arial" w:hAnsi="Arial" w:cs="Arial"/>
          <w:sz w:val="20"/>
          <w:szCs w:val="20"/>
        </w:rPr>
        <w:t>ciblés</w:t>
      </w:r>
      <w:r w:rsidR="00D102D5" w:rsidRPr="000F7265">
        <w:rPr>
          <w:rFonts w:ascii="Arial" w:hAnsi="Arial" w:cs="Arial"/>
          <w:sz w:val="20"/>
          <w:szCs w:val="20"/>
        </w:rPr>
        <w:t xml:space="preserve"> à peu près au moment de l'apparition des troubles mentaux.</w:t>
      </w:r>
      <w:r w:rsidR="00474961" w:rsidRPr="000F7265">
        <w:rPr>
          <w:rFonts w:ascii="Arial" w:hAnsi="Arial" w:cs="Arial"/>
          <w:sz w:val="20"/>
          <w:szCs w:val="20"/>
        </w:rPr>
        <w:t xml:space="preserve"> </w:t>
      </w:r>
      <w:r w:rsidR="006D52C6" w:rsidRPr="000F7265">
        <w:rPr>
          <w:rFonts w:ascii="Arial" w:hAnsi="Arial" w:cs="Arial"/>
          <w:sz w:val="20"/>
          <w:szCs w:val="20"/>
        </w:rPr>
        <w:t>Malheureusement, l’</w:t>
      </w:r>
      <w:r>
        <w:rPr>
          <w:rFonts w:ascii="Arial" w:hAnsi="Arial" w:cs="Arial"/>
          <w:sz w:val="20"/>
          <w:szCs w:val="20"/>
        </w:rPr>
        <w:t>âge</w:t>
      </w:r>
      <w:r w:rsidR="00D102D5" w:rsidRPr="000F7265">
        <w:rPr>
          <w:rFonts w:ascii="Arial" w:hAnsi="Arial" w:cs="Arial"/>
          <w:sz w:val="20"/>
          <w:szCs w:val="20"/>
        </w:rPr>
        <w:t xml:space="preserve"> </w:t>
      </w:r>
      <w:r w:rsidR="006D52C6" w:rsidRPr="000F7265">
        <w:rPr>
          <w:rFonts w:ascii="Arial" w:hAnsi="Arial" w:cs="Arial"/>
          <w:sz w:val="20"/>
          <w:szCs w:val="20"/>
        </w:rPr>
        <w:t>d</w:t>
      </w:r>
      <w:r w:rsidR="00D102D5" w:rsidRPr="000F7265">
        <w:rPr>
          <w:rFonts w:ascii="Arial" w:hAnsi="Arial" w:cs="Arial"/>
          <w:sz w:val="20"/>
          <w:szCs w:val="20"/>
        </w:rPr>
        <w:t>u début des troubles mentaux</w:t>
      </w:r>
      <w:r w:rsidR="00474961" w:rsidRPr="000F7265">
        <w:rPr>
          <w:rFonts w:ascii="Arial" w:hAnsi="Arial" w:cs="Arial"/>
          <w:sz w:val="20"/>
          <w:szCs w:val="20"/>
        </w:rPr>
        <w:t xml:space="preserve"> </w:t>
      </w:r>
      <w:r w:rsidR="006D52C6" w:rsidRPr="000F7265">
        <w:rPr>
          <w:rFonts w:ascii="Arial" w:hAnsi="Arial" w:cs="Arial"/>
          <w:sz w:val="20"/>
          <w:szCs w:val="20"/>
        </w:rPr>
        <w:t>ne sont pas clairement</w:t>
      </w:r>
      <w:r>
        <w:rPr>
          <w:rFonts w:ascii="Arial" w:hAnsi="Arial" w:cs="Arial"/>
          <w:sz w:val="20"/>
          <w:szCs w:val="20"/>
        </w:rPr>
        <w:t xml:space="preserve"> établis. L</w:t>
      </w:r>
      <w:r w:rsidR="00D102D5" w:rsidRPr="000F7265">
        <w:rPr>
          <w:rFonts w:ascii="Arial" w:hAnsi="Arial" w:cs="Arial"/>
          <w:sz w:val="20"/>
          <w:szCs w:val="20"/>
        </w:rPr>
        <w:t xml:space="preserve">es résultats </w:t>
      </w:r>
      <w:r>
        <w:rPr>
          <w:rFonts w:ascii="Arial" w:hAnsi="Arial" w:cs="Arial"/>
          <w:sz w:val="20"/>
          <w:szCs w:val="20"/>
        </w:rPr>
        <w:t xml:space="preserve">sont </w:t>
      </w:r>
      <w:r w:rsidR="00D102D5" w:rsidRPr="000F7265">
        <w:rPr>
          <w:rFonts w:ascii="Arial" w:hAnsi="Arial" w:cs="Arial"/>
          <w:sz w:val="20"/>
          <w:szCs w:val="20"/>
        </w:rPr>
        <w:t>contradictoires</w:t>
      </w:r>
      <w:r w:rsidR="00474961" w:rsidRPr="000F7265">
        <w:rPr>
          <w:rFonts w:ascii="Arial" w:hAnsi="Arial" w:cs="Arial"/>
          <w:sz w:val="20"/>
          <w:szCs w:val="20"/>
        </w:rPr>
        <w:t xml:space="preserve"> </w:t>
      </w:r>
      <w:r w:rsidR="00D102D5" w:rsidRPr="000F7265">
        <w:rPr>
          <w:rFonts w:ascii="Arial" w:hAnsi="Arial" w:cs="Arial"/>
          <w:sz w:val="20"/>
          <w:szCs w:val="20"/>
        </w:rPr>
        <w:t xml:space="preserve">à travers </w:t>
      </w:r>
      <w:r w:rsidR="006D52C6" w:rsidRPr="000F7265">
        <w:rPr>
          <w:rFonts w:ascii="Arial" w:hAnsi="Arial" w:cs="Arial"/>
          <w:sz w:val="20"/>
          <w:szCs w:val="20"/>
        </w:rPr>
        <w:t>les études</w:t>
      </w:r>
      <w:r w:rsidR="00D102D5" w:rsidRPr="000F7265">
        <w:rPr>
          <w:rFonts w:ascii="Arial" w:hAnsi="Arial" w:cs="Arial"/>
          <w:sz w:val="20"/>
          <w:szCs w:val="20"/>
        </w:rPr>
        <w:t>, en partie en raison de</w:t>
      </w:r>
      <w:r w:rsidR="00474961" w:rsidRPr="000F7265">
        <w:rPr>
          <w:rFonts w:ascii="Arial" w:hAnsi="Arial" w:cs="Arial"/>
          <w:sz w:val="20"/>
          <w:szCs w:val="20"/>
        </w:rPr>
        <w:t xml:space="preserve"> </w:t>
      </w:r>
      <w:r w:rsidR="00D102D5" w:rsidRPr="000F7265">
        <w:rPr>
          <w:rFonts w:ascii="Arial" w:hAnsi="Arial" w:cs="Arial"/>
          <w:sz w:val="20"/>
          <w:szCs w:val="20"/>
        </w:rPr>
        <w:t>limitations méthodologiques, y compris les biais de sélection dans</w:t>
      </w:r>
      <w:r w:rsidR="00474961" w:rsidRPr="000F7265">
        <w:rPr>
          <w:rFonts w:ascii="Arial" w:hAnsi="Arial" w:cs="Arial"/>
          <w:sz w:val="20"/>
          <w:szCs w:val="20"/>
        </w:rPr>
        <w:t xml:space="preserve"> </w:t>
      </w:r>
      <w:r>
        <w:rPr>
          <w:rFonts w:ascii="Arial" w:hAnsi="Arial" w:cs="Arial"/>
          <w:sz w:val="20"/>
          <w:szCs w:val="20"/>
        </w:rPr>
        <w:t xml:space="preserve">le </w:t>
      </w:r>
      <w:r w:rsidR="00D102D5" w:rsidRPr="000F7265">
        <w:rPr>
          <w:rFonts w:ascii="Arial" w:hAnsi="Arial" w:cs="Arial"/>
          <w:sz w:val="20"/>
          <w:szCs w:val="20"/>
        </w:rPr>
        <w:t>recrutemen</w:t>
      </w:r>
      <w:r w:rsidR="006D52C6" w:rsidRPr="000F7265">
        <w:rPr>
          <w:rFonts w:ascii="Arial" w:hAnsi="Arial" w:cs="Arial"/>
          <w:sz w:val="20"/>
          <w:szCs w:val="20"/>
        </w:rPr>
        <w:t>t pour des études cliniques</w:t>
      </w:r>
      <w:r w:rsidR="00D102D5" w:rsidRPr="000F7265">
        <w:rPr>
          <w:rFonts w:ascii="Arial" w:hAnsi="Arial" w:cs="Arial"/>
          <w:sz w:val="20"/>
          <w:szCs w:val="20"/>
        </w:rPr>
        <w:t xml:space="preserve">. </w:t>
      </w:r>
    </w:p>
    <w:p w:rsidR="007A0D88" w:rsidRPr="000F7265" w:rsidRDefault="006D52C6" w:rsidP="007644FD">
      <w:pPr>
        <w:spacing w:line="360" w:lineRule="auto"/>
        <w:jc w:val="both"/>
        <w:rPr>
          <w:rFonts w:ascii="Arial" w:hAnsi="Arial" w:cs="Arial"/>
          <w:sz w:val="20"/>
          <w:szCs w:val="20"/>
        </w:rPr>
      </w:pPr>
      <w:r w:rsidRPr="000F7265">
        <w:rPr>
          <w:rFonts w:ascii="Arial" w:hAnsi="Arial" w:cs="Arial"/>
          <w:sz w:val="20"/>
          <w:szCs w:val="20"/>
        </w:rPr>
        <w:t xml:space="preserve">L'objectif de cette étude est de faire une évaluation épidémiologique complète sur une population représentative de la population générale pour estimer l'âge de pointe de début des troubles mentaux dans le but d'optimiser les délais d'intervention, </w:t>
      </w:r>
      <w:r w:rsidR="004F0A04">
        <w:rPr>
          <w:rFonts w:ascii="Arial" w:hAnsi="Arial" w:cs="Arial"/>
          <w:sz w:val="20"/>
          <w:szCs w:val="20"/>
        </w:rPr>
        <w:t xml:space="preserve">la </w:t>
      </w:r>
      <w:r w:rsidRPr="000F7265">
        <w:rPr>
          <w:rFonts w:ascii="Arial" w:hAnsi="Arial" w:cs="Arial"/>
          <w:sz w:val="20"/>
          <w:szCs w:val="20"/>
        </w:rPr>
        <w:t>prévention et</w:t>
      </w:r>
      <w:r w:rsidR="004F0A04">
        <w:rPr>
          <w:rFonts w:ascii="Arial" w:hAnsi="Arial" w:cs="Arial"/>
          <w:sz w:val="20"/>
          <w:szCs w:val="20"/>
        </w:rPr>
        <w:t xml:space="preserve"> la</w:t>
      </w:r>
      <w:r w:rsidRPr="000F7265">
        <w:rPr>
          <w:rFonts w:ascii="Arial" w:hAnsi="Arial" w:cs="Arial"/>
          <w:sz w:val="20"/>
          <w:szCs w:val="20"/>
        </w:rPr>
        <w:t xml:space="preserve"> p</w:t>
      </w:r>
      <w:r w:rsidR="004F0A04">
        <w:rPr>
          <w:rFonts w:ascii="Arial" w:hAnsi="Arial" w:cs="Arial"/>
          <w:sz w:val="20"/>
          <w:szCs w:val="20"/>
        </w:rPr>
        <w:t xml:space="preserve">romotion </w:t>
      </w:r>
      <w:r w:rsidRPr="000F7265">
        <w:rPr>
          <w:rFonts w:ascii="Arial" w:hAnsi="Arial" w:cs="Arial"/>
          <w:sz w:val="20"/>
          <w:szCs w:val="20"/>
        </w:rPr>
        <w:t>de santé mentale au moment de l'apparition des troubles mentaux.</w:t>
      </w:r>
    </w:p>
    <w:p w:rsidR="005C480E" w:rsidRPr="000F7265" w:rsidRDefault="00D102D5" w:rsidP="007644FD">
      <w:pPr>
        <w:spacing w:line="360" w:lineRule="auto"/>
        <w:jc w:val="both"/>
        <w:rPr>
          <w:rFonts w:ascii="Arial" w:hAnsi="Arial" w:cs="Arial"/>
          <w:b/>
          <w:bCs/>
          <w:sz w:val="20"/>
          <w:szCs w:val="20"/>
        </w:rPr>
      </w:pPr>
      <w:r w:rsidRPr="000F7265">
        <w:rPr>
          <w:rFonts w:ascii="Arial" w:hAnsi="Arial" w:cs="Arial"/>
          <w:b/>
          <w:bCs/>
          <w:sz w:val="20"/>
          <w:szCs w:val="20"/>
        </w:rPr>
        <w:t>METHODE</w:t>
      </w:r>
      <w:r w:rsidR="004F0A04">
        <w:rPr>
          <w:rFonts w:ascii="Arial" w:hAnsi="Arial" w:cs="Arial"/>
          <w:b/>
          <w:bCs/>
          <w:sz w:val="20"/>
          <w:szCs w:val="20"/>
        </w:rPr>
        <w:t>S</w:t>
      </w:r>
    </w:p>
    <w:p w:rsidR="007A0D88" w:rsidRPr="000F7265" w:rsidRDefault="004F0A04" w:rsidP="007644FD">
      <w:pPr>
        <w:spacing w:line="360" w:lineRule="auto"/>
        <w:jc w:val="both"/>
        <w:rPr>
          <w:rFonts w:ascii="Arial" w:hAnsi="Arial" w:cs="Arial"/>
          <w:sz w:val="20"/>
          <w:szCs w:val="20"/>
        </w:rPr>
      </w:pPr>
      <w:r>
        <w:rPr>
          <w:rFonts w:ascii="Arial" w:hAnsi="Arial" w:cs="Arial"/>
          <w:sz w:val="20"/>
          <w:szCs w:val="20"/>
        </w:rPr>
        <w:t>Afin de récolter</w:t>
      </w:r>
      <w:r w:rsidR="007D4FBC" w:rsidRPr="000F7265">
        <w:rPr>
          <w:rFonts w:ascii="Arial" w:hAnsi="Arial" w:cs="Arial"/>
          <w:sz w:val="20"/>
          <w:szCs w:val="20"/>
        </w:rPr>
        <w:t xml:space="preserve"> des données épidémiologiques mondiales robustes de</w:t>
      </w:r>
      <w:r>
        <w:rPr>
          <w:rFonts w:ascii="Arial" w:hAnsi="Arial" w:cs="Arial"/>
          <w:sz w:val="20"/>
          <w:szCs w:val="20"/>
        </w:rPr>
        <w:t xml:space="preserve"> l’estimation de l'âge de</w:t>
      </w:r>
      <w:r w:rsidR="007D4FBC" w:rsidRPr="000F7265">
        <w:rPr>
          <w:rFonts w:ascii="Arial" w:hAnsi="Arial" w:cs="Arial"/>
          <w:sz w:val="20"/>
          <w:szCs w:val="20"/>
        </w:rPr>
        <w:t xml:space="preserve"> début des troubles mentaux, les auteurs ont mené une revue systématique conforme aux recommandations PRISMA/MOOSE avec méta-analyse des études représentatives de la population générale, signalant l'âge de début des troubles mentaux CIM/DSM, identifié dans PubMed/Web of Science (jusqu'au 16/05/2020) (PROSPERO:CRD42019143015).</w:t>
      </w:r>
    </w:p>
    <w:p w:rsidR="005C480E" w:rsidRPr="000F7265" w:rsidRDefault="00D102D5" w:rsidP="007644FD">
      <w:pPr>
        <w:spacing w:line="360" w:lineRule="auto"/>
        <w:jc w:val="both"/>
        <w:rPr>
          <w:rFonts w:ascii="Arial" w:hAnsi="Arial" w:cs="Arial"/>
          <w:b/>
          <w:bCs/>
          <w:sz w:val="20"/>
          <w:szCs w:val="20"/>
        </w:rPr>
      </w:pPr>
      <w:r w:rsidRPr="000F7265">
        <w:rPr>
          <w:rFonts w:ascii="Arial" w:hAnsi="Arial" w:cs="Arial"/>
          <w:b/>
          <w:bCs/>
          <w:sz w:val="20"/>
          <w:szCs w:val="20"/>
        </w:rPr>
        <w:t>RESULTAT</w:t>
      </w:r>
      <w:r w:rsidR="004F0A04">
        <w:rPr>
          <w:rFonts w:ascii="Arial" w:hAnsi="Arial" w:cs="Arial"/>
          <w:b/>
          <w:bCs/>
          <w:sz w:val="20"/>
          <w:szCs w:val="20"/>
        </w:rPr>
        <w:t>S</w:t>
      </w:r>
    </w:p>
    <w:p w:rsidR="00382D79" w:rsidRPr="000F7265" w:rsidRDefault="00382D79" w:rsidP="007644FD">
      <w:pPr>
        <w:spacing w:line="360" w:lineRule="auto"/>
        <w:jc w:val="both"/>
        <w:rPr>
          <w:rFonts w:ascii="Arial" w:hAnsi="Arial" w:cs="Arial"/>
          <w:sz w:val="20"/>
          <w:szCs w:val="20"/>
        </w:rPr>
      </w:pPr>
      <w:r w:rsidRPr="000F7265">
        <w:rPr>
          <w:rFonts w:ascii="Arial" w:hAnsi="Arial" w:cs="Arial"/>
          <w:sz w:val="20"/>
          <w:szCs w:val="20"/>
        </w:rPr>
        <w:lastRenderedPageBreak/>
        <w:t>Les résultats primaires étaient la proportion d'individus présentant des troubles mentaux avant l'âge de 14, 18 et 25 ans et l'âge maximal de début, p</w:t>
      </w:r>
      <w:r w:rsidR="004F0A04">
        <w:rPr>
          <w:rFonts w:ascii="Arial" w:hAnsi="Arial" w:cs="Arial"/>
          <w:sz w:val="20"/>
          <w:szCs w:val="20"/>
        </w:rPr>
        <w:t>our tous les</w:t>
      </w:r>
      <w:r w:rsidRPr="000F7265">
        <w:rPr>
          <w:rFonts w:ascii="Arial" w:hAnsi="Arial" w:cs="Arial"/>
          <w:sz w:val="20"/>
          <w:szCs w:val="20"/>
        </w:rPr>
        <w:t xml:space="preserve"> troubles mentaux identifié</w:t>
      </w:r>
      <w:r w:rsidR="004F0A04">
        <w:rPr>
          <w:rFonts w:ascii="Arial" w:hAnsi="Arial" w:cs="Arial"/>
          <w:sz w:val="20"/>
          <w:szCs w:val="20"/>
        </w:rPr>
        <w:t>s</w:t>
      </w:r>
      <w:r w:rsidRPr="000F7265">
        <w:rPr>
          <w:rFonts w:ascii="Arial" w:hAnsi="Arial" w:cs="Arial"/>
          <w:sz w:val="20"/>
          <w:szCs w:val="20"/>
        </w:rPr>
        <w:t xml:space="preserve"> dans le CIM-11. L’âge moyen d'apparition des troubles spécifiques a fait l'objet d'investigations secondaires.</w:t>
      </w:r>
    </w:p>
    <w:p w:rsidR="0038247F" w:rsidRPr="000F7265" w:rsidRDefault="00F85EC5" w:rsidP="007644FD">
      <w:pPr>
        <w:spacing w:line="360" w:lineRule="auto"/>
        <w:jc w:val="both"/>
        <w:rPr>
          <w:rFonts w:ascii="Arial" w:hAnsi="Arial" w:cs="Arial"/>
          <w:sz w:val="20"/>
          <w:szCs w:val="20"/>
        </w:rPr>
      </w:pPr>
      <w:r w:rsidRPr="000F7265">
        <w:rPr>
          <w:rFonts w:ascii="Arial" w:hAnsi="Arial" w:cs="Arial"/>
          <w:sz w:val="20"/>
          <w:szCs w:val="20"/>
        </w:rPr>
        <w:t xml:space="preserve">Sur 192 études (n = 708 561) incluses, la proportion d'individus présentant des troubles mentaux avant l'âge de 14, 18 et 25 ans était de 34,6 %, 48,4 %, 62,5 % et l'âge maximal était de 14,5 ans (k = 14, médiane = 18, Écart interquartile (IQR) = 11–34). </w:t>
      </w:r>
    </w:p>
    <w:p w:rsidR="006644F7" w:rsidRPr="000F7265" w:rsidRDefault="006644F7" w:rsidP="007644FD">
      <w:pPr>
        <w:spacing w:line="360" w:lineRule="auto"/>
        <w:jc w:val="both"/>
        <w:rPr>
          <w:rFonts w:ascii="Arial" w:hAnsi="Arial" w:cs="Arial"/>
          <w:sz w:val="20"/>
          <w:szCs w:val="20"/>
        </w:rPr>
      </w:pPr>
      <w:r w:rsidRPr="000F7265">
        <w:rPr>
          <w:rFonts w:ascii="Arial" w:hAnsi="Arial" w:cs="Arial"/>
          <w:sz w:val="20"/>
          <w:szCs w:val="20"/>
        </w:rPr>
        <w:t>Pour les groupes de</w:t>
      </w:r>
      <w:r w:rsidR="00F85EC5" w:rsidRPr="000F7265">
        <w:rPr>
          <w:rFonts w:ascii="Arial" w:hAnsi="Arial" w:cs="Arial"/>
          <w:sz w:val="20"/>
          <w:szCs w:val="20"/>
        </w:rPr>
        <w:t xml:space="preserve"> diagnostiques, la proportion d'individus présentant u</w:t>
      </w:r>
      <w:r w:rsidRPr="000F7265">
        <w:rPr>
          <w:rFonts w:ascii="Arial" w:hAnsi="Arial" w:cs="Arial"/>
          <w:sz w:val="20"/>
          <w:szCs w:val="20"/>
        </w:rPr>
        <w:t>n trouble avant l'âge de 14, 18 et</w:t>
      </w:r>
      <w:r w:rsidR="00F85EC5" w:rsidRPr="000F7265">
        <w:rPr>
          <w:rFonts w:ascii="Arial" w:hAnsi="Arial" w:cs="Arial"/>
          <w:sz w:val="20"/>
          <w:szCs w:val="20"/>
        </w:rPr>
        <w:t xml:space="preserve"> 25 ans et l'âge maximal était la suivante : </w:t>
      </w:r>
    </w:p>
    <w:p w:rsidR="002A3B3D" w:rsidRPr="000F7265" w:rsidRDefault="002A3B3D" w:rsidP="007644FD">
      <w:pPr>
        <w:spacing w:line="360" w:lineRule="auto"/>
        <w:jc w:val="both"/>
        <w:rPr>
          <w:rFonts w:ascii="Arial" w:hAnsi="Arial" w:cs="Arial"/>
          <w:sz w:val="20"/>
          <w:szCs w:val="20"/>
        </w:rPr>
      </w:pPr>
      <w:r w:rsidRPr="000F7265">
        <w:rPr>
          <w:rFonts w:ascii="Arial" w:hAnsi="Arial" w:cs="Arial"/>
          <w:noProof/>
          <w:sz w:val="20"/>
          <w:szCs w:val="20"/>
          <w:lang w:eastAsia="fr-FR"/>
        </w:rPr>
        <w:drawing>
          <wp:inline distT="0" distB="0" distL="0" distR="0" wp14:anchorId="6193717D" wp14:editId="711406E9">
            <wp:extent cx="5829300" cy="573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5734050"/>
                    </a:xfrm>
                    <a:prstGeom prst="rect">
                      <a:avLst/>
                    </a:prstGeom>
                  </pic:spPr>
                </pic:pic>
              </a:graphicData>
            </a:graphic>
          </wp:inline>
        </w:drawing>
      </w:r>
    </w:p>
    <w:p w:rsidR="002A3B3D" w:rsidRPr="00FF6434" w:rsidRDefault="002A3B3D" w:rsidP="005C5120">
      <w:pPr>
        <w:spacing w:line="360" w:lineRule="auto"/>
        <w:jc w:val="both"/>
        <w:rPr>
          <w:rFonts w:ascii="Arial" w:hAnsi="Arial" w:cs="Arial"/>
          <w:sz w:val="16"/>
          <w:szCs w:val="20"/>
        </w:rPr>
      </w:pPr>
      <w:r w:rsidRPr="00FF6434">
        <w:rPr>
          <w:rStyle w:val="fontstyle01"/>
          <w:rFonts w:ascii="Arial" w:hAnsi="Arial" w:cs="Arial"/>
          <w:b/>
          <w:sz w:val="16"/>
        </w:rPr>
        <w:lastRenderedPageBreak/>
        <w:t>Fig. 1</w:t>
      </w:r>
      <w:r w:rsidRPr="00FF6434">
        <w:rPr>
          <w:rStyle w:val="fontstyle01"/>
          <w:rFonts w:ascii="Arial" w:hAnsi="Arial" w:cs="Arial"/>
          <w:sz w:val="16"/>
        </w:rPr>
        <w:t xml:space="preserve"> </w:t>
      </w:r>
      <w:r w:rsidR="001D2F4E" w:rsidRPr="00960585">
        <w:rPr>
          <w:rStyle w:val="fontstyle21"/>
          <w:rFonts w:ascii="Arial" w:hAnsi="Arial" w:cs="Arial"/>
          <w:sz w:val="18"/>
        </w:rPr>
        <w:t xml:space="preserve">L’âge médian du début des troubles mentaux. La ligne indique l'âge médian au début des troubles mentaux (Spectres diagnostiques CIM-11 au-dessus, troubles mentaux spécifiques au-dessous), la barre indique les 25e et 75e percentiles. CIM-11 Classification internationale des maladies. </w:t>
      </w:r>
      <w:r w:rsidR="005C5120" w:rsidRPr="00960585">
        <w:rPr>
          <w:rStyle w:val="fontstyle21"/>
          <w:rFonts w:ascii="Arial" w:hAnsi="Arial" w:cs="Arial"/>
          <w:sz w:val="18"/>
        </w:rPr>
        <w:t>ADHD</w:t>
      </w:r>
      <w:r w:rsidR="001D2F4E" w:rsidRPr="00960585">
        <w:rPr>
          <w:rStyle w:val="fontstyle21"/>
          <w:rFonts w:ascii="Arial" w:hAnsi="Arial" w:cs="Arial"/>
          <w:sz w:val="18"/>
        </w:rPr>
        <w:t xml:space="preserve"> trouble déficit d'attention avec hyperactivité, </w:t>
      </w:r>
      <w:r w:rsidR="009E6390" w:rsidRPr="00960585">
        <w:rPr>
          <w:rStyle w:val="fontstyle21"/>
          <w:rFonts w:ascii="Arial" w:hAnsi="Arial" w:cs="Arial"/>
          <w:sz w:val="18"/>
        </w:rPr>
        <w:t>ASD</w:t>
      </w:r>
      <w:r w:rsidR="001D2F4E" w:rsidRPr="00960585">
        <w:rPr>
          <w:rStyle w:val="fontstyle21"/>
          <w:rFonts w:ascii="Arial" w:hAnsi="Arial" w:cs="Arial"/>
          <w:sz w:val="18"/>
        </w:rPr>
        <w:t xml:space="preserve"> : trouble du spectre autistique, ATPD, trouble psychotique aigu et transitoire ; </w:t>
      </w:r>
      <w:r w:rsidR="005C5120" w:rsidRPr="00960585">
        <w:rPr>
          <w:rStyle w:val="fontstyle21"/>
          <w:rFonts w:ascii="Arial" w:hAnsi="Arial" w:cs="Arial"/>
          <w:sz w:val="18"/>
        </w:rPr>
        <w:t>GAD</w:t>
      </w:r>
      <w:r w:rsidR="001D2F4E" w:rsidRPr="00960585">
        <w:rPr>
          <w:rStyle w:val="fontstyle21"/>
          <w:rFonts w:ascii="Arial" w:hAnsi="Arial" w:cs="Arial"/>
          <w:sz w:val="18"/>
        </w:rPr>
        <w:t xml:space="preserve"> Trouble anxieux généralisé, </w:t>
      </w:r>
      <w:r w:rsidR="005C5120" w:rsidRPr="00960585">
        <w:rPr>
          <w:rStyle w:val="fontstyle21"/>
          <w:rFonts w:ascii="Arial" w:hAnsi="Arial" w:cs="Arial"/>
          <w:sz w:val="18"/>
        </w:rPr>
        <w:t>OCD</w:t>
      </w:r>
      <w:r w:rsidR="001D2F4E" w:rsidRPr="00960585">
        <w:rPr>
          <w:rStyle w:val="fontstyle21"/>
          <w:rFonts w:ascii="Arial" w:hAnsi="Arial" w:cs="Arial"/>
          <w:sz w:val="18"/>
        </w:rPr>
        <w:t xml:space="preserve"> Trouble obsessionnel-compulsif, PTSD trouble de st</w:t>
      </w:r>
      <w:r w:rsidR="005C5120" w:rsidRPr="00960585">
        <w:rPr>
          <w:rStyle w:val="fontstyle21"/>
          <w:rFonts w:ascii="Arial" w:hAnsi="Arial" w:cs="Arial"/>
          <w:sz w:val="18"/>
        </w:rPr>
        <w:t>ress post-traumatique.</w:t>
      </w:r>
    </w:p>
    <w:p w:rsidR="00BB7DCC" w:rsidRDefault="006644F7" w:rsidP="007644FD">
      <w:pPr>
        <w:spacing w:line="360" w:lineRule="auto"/>
        <w:jc w:val="both"/>
        <w:rPr>
          <w:rFonts w:ascii="Arial" w:hAnsi="Arial" w:cs="Arial"/>
          <w:sz w:val="20"/>
          <w:szCs w:val="20"/>
        </w:rPr>
      </w:pPr>
      <w:r w:rsidRPr="000F7265">
        <w:rPr>
          <w:rFonts w:ascii="Arial" w:hAnsi="Arial" w:cs="Arial"/>
          <w:sz w:val="20"/>
          <w:szCs w:val="20"/>
        </w:rPr>
        <w:t>L’âge moyen d'apparition de troubles mentaux spécifiques cartographiés sur un</w:t>
      </w:r>
      <w:r w:rsidR="00BB7DCC">
        <w:rPr>
          <w:rFonts w:ascii="Arial" w:hAnsi="Arial" w:cs="Arial"/>
          <w:sz w:val="20"/>
          <w:szCs w:val="20"/>
        </w:rPr>
        <w:t xml:space="preserve"> continuum temporel :</w:t>
      </w:r>
    </w:p>
    <w:p w:rsidR="00BB7DCC" w:rsidRPr="00BB7DCC" w:rsidRDefault="00BB7DCC" w:rsidP="00BB7DCC">
      <w:pPr>
        <w:pStyle w:val="Paragraphedeliste"/>
        <w:numPr>
          <w:ilvl w:val="0"/>
          <w:numId w:val="2"/>
        </w:numPr>
        <w:spacing w:line="360" w:lineRule="auto"/>
        <w:jc w:val="both"/>
        <w:rPr>
          <w:rFonts w:ascii="Arial" w:hAnsi="Arial" w:cs="Arial"/>
          <w:sz w:val="20"/>
          <w:szCs w:val="20"/>
        </w:rPr>
      </w:pPr>
      <w:r w:rsidRPr="00BB7DCC">
        <w:rPr>
          <w:rFonts w:ascii="Arial" w:hAnsi="Arial" w:cs="Arial"/>
          <w:b/>
          <w:sz w:val="20"/>
          <w:szCs w:val="20"/>
        </w:rPr>
        <w:t>Phobies</w:t>
      </w:r>
      <w:r w:rsidR="006644F7" w:rsidRPr="00BB7DCC">
        <w:rPr>
          <w:rFonts w:ascii="Arial" w:hAnsi="Arial" w:cs="Arial"/>
          <w:b/>
          <w:sz w:val="20"/>
          <w:szCs w:val="20"/>
        </w:rPr>
        <w:t>/anxiété de séparation/trouble du spectre autistique/trouble d'hyperactivité avec déficit de l'attention/phobie sociale</w:t>
      </w:r>
      <w:r w:rsidR="006644F7" w:rsidRPr="00BB7DCC">
        <w:rPr>
          <w:rFonts w:ascii="Arial" w:hAnsi="Arial" w:cs="Arial"/>
          <w:sz w:val="20"/>
          <w:szCs w:val="20"/>
        </w:rPr>
        <w:t xml:space="preserve"> (</w:t>
      </w:r>
      <w:r w:rsidR="006644F7" w:rsidRPr="00BB7DCC">
        <w:rPr>
          <w:rFonts w:ascii="Arial" w:hAnsi="Arial" w:cs="Arial"/>
          <w:b/>
          <w:color w:val="002060"/>
          <w:sz w:val="20"/>
          <w:szCs w:val="20"/>
        </w:rPr>
        <w:t>8-13 ans</w:t>
      </w:r>
      <w:r w:rsidRPr="00BB7DCC">
        <w:rPr>
          <w:rFonts w:ascii="Arial" w:hAnsi="Arial" w:cs="Arial"/>
          <w:sz w:val="20"/>
          <w:szCs w:val="20"/>
        </w:rPr>
        <w:t xml:space="preserve">) </w:t>
      </w:r>
    </w:p>
    <w:p w:rsidR="00BB7DCC" w:rsidRPr="00BB7DCC" w:rsidRDefault="00BB7DCC" w:rsidP="00BB7DCC">
      <w:pPr>
        <w:pStyle w:val="Paragraphedeliste"/>
        <w:numPr>
          <w:ilvl w:val="0"/>
          <w:numId w:val="2"/>
        </w:numPr>
        <w:spacing w:line="360" w:lineRule="auto"/>
        <w:jc w:val="both"/>
        <w:rPr>
          <w:rFonts w:ascii="Arial" w:hAnsi="Arial" w:cs="Arial"/>
          <w:sz w:val="20"/>
          <w:szCs w:val="20"/>
        </w:rPr>
      </w:pPr>
      <w:r w:rsidRPr="00BB7DCC">
        <w:rPr>
          <w:rFonts w:ascii="Arial" w:hAnsi="Arial" w:cs="Arial"/>
          <w:b/>
          <w:sz w:val="20"/>
          <w:szCs w:val="20"/>
        </w:rPr>
        <w:t>L’anorexie</w:t>
      </w:r>
      <w:r w:rsidR="006644F7" w:rsidRPr="00BB7DCC">
        <w:rPr>
          <w:rFonts w:ascii="Arial" w:hAnsi="Arial" w:cs="Arial"/>
          <w:b/>
          <w:sz w:val="20"/>
          <w:szCs w:val="20"/>
        </w:rPr>
        <w:t xml:space="preserve"> mentale/boulimie nerveuse/obsession-</w:t>
      </w:r>
      <w:proofErr w:type="spellStart"/>
      <w:r w:rsidR="006644F7" w:rsidRPr="00BB7DCC">
        <w:rPr>
          <w:rFonts w:ascii="Arial" w:hAnsi="Arial" w:cs="Arial"/>
          <w:b/>
          <w:sz w:val="20"/>
          <w:szCs w:val="20"/>
        </w:rPr>
        <w:t>compulsivité</w:t>
      </w:r>
      <w:proofErr w:type="spellEnd"/>
      <w:r w:rsidR="006644F7" w:rsidRPr="00BB7DCC">
        <w:rPr>
          <w:rFonts w:ascii="Arial" w:hAnsi="Arial" w:cs="Arial"/>
          <w:b/>
          <w:sz w:val="20"/>
          <w:szCs w:val="20"/>
        </w:rPr>
        <w:t>/frénésie /troubles liés à l'usage du cannabis</w:t>
      </w:r>
      <w:r w:rsidR="006644F7" w:rsidRPr="00BB7DCC">
        <w:rPr>
          <w:rFonts w:ascii="Arial" w:hAnsi="Arial" w:cs="Arial"/>
          <w:sz w:val="20"/>
          <w:szCs w:val="20"/>
        </w:rPr>
        <w:t xml:space="preserve"> (</w:t>
      </w:r>
      <w:r w:rsidR="006644F7" w:rsidRPr="00BB7DCC">
        <w:rPr>
          <w:rFonts w:ascii="Arial" w:hAnsi="Arial" w:cs="Arial"/>
          <w:b/>
          <w:color w:val="002060"/>
          <w:sz w:val="20"/>
          <w:szCs w:val="20"/>
        </w:rPr>
        <w:t>17-22 ans</w:t>
      </w:r>
      <w:r w:rsidR="006644F7" w:rsidRPr="00BB7DCC">
        <w:rPr>
          <w:rFonts w:ascii="Arial" w:hAnsi="Arial" w:cs="Arial"/>
          <w:sz w:val="20"/>
          <w:szCs w:val="20"/>
        </w:rPr>
        <w:t xml:space="preserve">), </w:t>
      </w:r>
    </w:p>
    <w:p w:rsidR="00BB7DCC" w:rsidRPr="00BB7DCC" w:rsidRDefault="00BB7DCC" w:rsidP="00BB7DCC">
      <w:pPr>
        <w:pStyle w:val="Paragraphedeliste"/>
        <w:numPr>
          <w:ilvl w:val="0"/>
          <w:numId w:val="2"/>
        </w:numPr>
        <w:spacing w:line="360" w:lineRule="auto"/>
        <w:jc w:val="both"/>
        <w:rPr>
          <w:rFonts w:ascii="Arial" w:hAnsi="Arial" w:cs="Arial"/>
          <w:sz w:val="20"/>
          <w:szCs w:val="20"/>
        </w:rPr>
      </w:pPr>
      <w:r w:rsidRPr="00BB7DCC">
        <w:rPr>
          <w:rFonts w:ascii="Arial" w:hAnsi="Arial" w:cs="Arial"/>
          <w:b/>
          <w:sz w:val="20"/>
          <w:szCs w:val="20"/>
        </w:rPr>
        <w:t>L</w:t>
      </w:r>
      <w:r w:rsidR="006644F7" w:rsidRPr="00BB7DCC">
        <w:rPr>
          <w:rFonts w:ascii="Arial" w:hAnsi="Arial" w:cs="Arial"/>
          <w:b/>
          <w:sz w:val="20"/>
          <w:szCs w:val="20"/>
        </w:rPr>
        <w:t>a schizophrénie, les troubles de la personnalité, la panique et la consommation d'alcool</w:t>
      </w:r>
      <w:r w:rsidR="006644F7" w:rsidRPr="00BB7DCC">
        <w:rPr>
          <w:rFonts w:ascii="Arial" w:hAnsi="Arial" w:cs="Arial"/>
          <w:sz w:val="20"/>
          <w:szCs w:val="20"/>
        </w:rPr>
        <w:t xml:space="preserve"> (</w:t>
      </w:r>
      <w:r w:rsidR="006644F7" w:rsidRPr="00BB7DCC">
        <w:rPr>
          <w:rFonts w:ascii="Arial" w:hAnsi="Arial" w:cs="Arial"/>
          <w:b/>
          <w:color w:val="002060"/>
          <w:sz w:val="20"/>
          <w:szCs w:val="20"/>
        </w:rPr>
        <w:t>25-27 ans</w:t>
      </w:r>
      <w:r w:rsidRPr="00BB7DCC">
        <w:rPr>
          <w:rFonts w:ascii="Arial" w:hAnsi="Arial" w:cs="Arial"/>
          <w:sz w:val="20"/>
          <w:szCs w:val="20"/>
        </w:rPr>
        <w:t>)</w:t>
      </w:r>
    </w:p>
    <w:p w:rsidR="006644F7" w:rsidRPr="00BB7DCC" w:rsidRDefault="00BB7DCC" w:rsidP="00BB7DCC">
      <w:pPr>
        <w:pStyle w:val="Paragraphedeliste"/>
        <w:numPr>
          <w:ilvl w:val="0"/>
          <w:numId w:val="2"/>
        </w:numPr>
        <w:spacing w:line="360" w:lineRule="auto"/>
        <w:jc w:val="both"/>
        <w:rPr>
          <w:rFonts w:ascii="Arial" w:hAnsi="Arial" w:cs="Arial"/>
          <w:sz w:val="20"/>
          <w:szCs w:val="20"/>
        </w:rPr>
      </w:pPr>
      <w:r w:rsidRPr="00BB7DCC">
        <w:rPr>
          <w:rFonts w:ascii="Arial" w:hAnsi="Arial" w:cs="Arial"/>
          <w:b/>
          <w:sz w:val="20"/>
          <w:szCs w:val="20"/>
        </w:rPr>
        <w:t>Les</w:t>
      </w:r>
      <w:r w:rsidR="006644F7" w:rsidRPr="00BB7DCC">
        <w:rPr>
          <w:rFonts w:ascii="Arial" w:hAnsi="Arial" w:cs="Arial"/>
          <w:sz w:val="20"/>
          <w:szCs w:val="20"/>
        </w:rPr>
        <w:t xml:space="preserve"> </w:t>
      </w:r>
      <w:r w:rsidR="006644F7" w:rsidRPr="00BB7DCC">
        <w:rPr>
          <w:rFonts w:ascii="Arial" w:hAnsi="Arial" w:cs="Arial"/>
          <w:b/>
          <w:sz w:val="20"/>
          <w:szCs w:val="20"/>
        </w:rPr>
        <w:t>troubles post-traumatiques/dépressifs/anxiété généralisée/bipolaire/psychotique aigu et transitoire</w:t>
      </w:r>
      <w:r w:rsidR="006644F7" w:rsidRPr="00BB7DCC">
        <w:rPr>
          <w:rFonts w:ascii="Arial" w:hAnsi="Arial" w:cs="Arial"/>
          <w:sz w:val="20"/>
          <w:szCs w:val="20"/>
        </w:rPr>
        <w:t xml:space="preserve"> (</w:t>
      </w:r>
      <w:r w:rsidR="006644F7" w:rsidRPr="00BB7DCC">
        <w:rPr>
          <w:rFonts w:ascii="Arial" w:hAnsi="Arial" w:cs="Arial"/>
          <w:b/>
          <w:color w:val="002060"/>
          <w:sz w:val="20"/>
          <w:szCs w:val="20"/>
        </w:rPr>
        <w:t>30-35 ans</w:t>
      </w:r>
      <w:r w:rsidR="006644F7" w:rsidRPr="00BB7DCC">
        <w:rPr>
          <w:rFonts w:ascii="Arial" w:hAnsi="Arial" w:cs="Arial"/>
          <w:sz w:val="20"/>
          <w:szCs w:val="20"/>
        </w:rPr>
        <w:t>).</w:t>
      </w:r>
    </w:p>
    <w:p w:rsidR="006644F7" w:rsidRPr="000F7265" w:rsidRDefault="006644F7" w:rsidP="007644FD">
      <w:pPr>
        <w:spacing w:line="360" w:lineRule="auto"/>
        <w:jc w:val="both"/>
        <w:rPr>
          <w:rFonts w:ascii="Arial" w:hAnsi="Arial" w:cs="Arial"/>
          <w:sz w:val="20"/>
          <w:szCs w:val="20"/>
        </w:rPr>
      </w:pPr>
      <w:r w:rsidRPr="000F7265">
        <w:rPr>
          <w:rFonts w:ascii="Arial" w:hAnsi="Arial" w:cs="Arial"/>
          <w:sz w:val="20"/>
          <w:szCs w:val="20"/>
        </w:rPr>
        <w:t>Ces résultats renseignent sur le calendrier d'une bonne promotion/prévention/intervention précoce de la santé mentale, mettant à jour le système de santé mentale actuel str</w:t>
      </w:r>
      <w:r w:rsidR="00A27382">
        <w:rPr>
          <w:rFonts w:ascii="Arial" w:hAnsi="Arial" w:cs="Arial"/>
          <w:sz w:val="20"/>
          <w:szCs w:val="20"/>
        </w:rPr>
        <w:t xml:space="preserve">ucturé </w:t>
      </w:r>
      <w:proofErr w:type="gramStart"/>
      <w:r w:rsidR="00A27382">
        <w:rPr>
          <w:rFonts w:ascii="Arial" w:hAnsi="Arial" w:cs="Arial"/>
          <w:sz w:val="20"/>
          <w:szCs w:val="20"/>
        </w:rPr>
        <w:t>a</w:t>
      </w:r>
      <w:proofErr w:type="gramEnd"/>
      <w:r w:rsidR="00A27382">
        <w:rPr>
          <w:rFonts w:ascii="Arial" w:hAnsi="Arial" w:cs="Arial"/>
          <w:sz w:val="20"/>
          <w:szCs w:val="20"/>
        </w:rPr>
        <w:t xml:space="preserve"> sein des services des</w:t>
      </w:r>
      <w:r w:rsidRPr="000F7265">
        <w:rPr>
          <w:rFonts w:ascii="Arial" w:hAnsi="Arial" w:cs="Arial"/>
          <w:sz w:val="20"/>
          <w:szCs w:val="20"/>
        </w:rPr>
        <w:t xml:space="preserve"> enfants/adultes à 18 ans.</w:t>
      </w:r>
    </w:p>
    <w:p w:rsidR="006472DB" w:rsidRPr="000F7265" w:rsidRDefault="00D102D5" w:rsidP="007644FD">
      <w:pPr>
        <w:spacing w:line="360" w:lineRule="auto"/>
        <w:jc w:val="both"/>
        <w:rPr>
          <w:rFonts w:ascii="Arial" w:hAnsi="Arial" w:cs="Arial"/>
          <w:sz w:val="20"/>
          <w:szCs w:val="20"/>
          <w:lang w:val="en-US"/>
        </w:rPr>
      </w:pPr>
      <w:r w:rsidRPr="000F7265">
        <w:rPr>
          <w:rFonts w:ascii="Arial" w:hAnsi="Arial" w:cs="Arial"/>
          <w:b/>
          <w:bCs/>
          <w:sz w:val="20"/>
          <w:szCs w:val="20"/>
          <w:lang w:val="en-US"/>
        </w:rPr>
        <w:t>DISCUSSION</w:t>
      </w:r>
    </w:p>
    <w:p w:rsidR="00584ADD" w:rsidRDefault="007644FD" w:rsidP="007644FD">
      <w:pPr>
        <w:spacing w:line="360" w:lineRule="auto"/>
        <w:jc w:val="both"/>
        <w:rPr>
          <w:rStyle w:val="fontstyle01"/>
          <w:rFonts w:ascii="Arial" w:hAnsi="Arial" w:cs="Arial"/>
        </w:rPr>
      </w:pPr>
      <w:r w:rsidRPr="000F7265">
        <w:rPr>
          <w:rStyle w:val="fontstyle01"/>
          <w:rFonts w:ascii="Arial" w:hAnsi="Arial" w:cs="Arial"/>
        </w:rPr>
        <w:t xml:space="preserve">Il s'agit de la première méta-analyse épidémiologique à grande échelle qui inclut toutes les études de naissance, transversales et d'incidence disponibles dans la population générale examinant l'âge d'apparition de tout trouble mental CIM/DSM. </w:t>
      </w:r>
      <w:r w:rsidR="00584ADD">
        <w:rPr>
          <w:rStyle w:val="fontstyle01"/>
          <w:rFonts w:ascii="Arial" w:hAnsi="Arial" w:cs="Arial"/>
        </w:rPr>
        <w:t>L</w:t>
      </w:r>
      <w:r w:rsidRPr="000F7265">
        <w:rPr>
          <w:rStyle w:val="fontstyle01"/>
          <w:rFonts w:ascii="Arial" w:hAnsi="Arial" w:cs="Arial"/>
        </w:rPr>
        <w:t>es résultats</w:t>
      </w:r>
      <w:r w:rsidR="00584ADD">
        <w:rPr>
          <w:rStyle w:val="fontstyle01"/>
          <w:rFonts w:ascii="Arial" w:hAnsi="Arial" w:cs="Arial"/>
        </w:rPr>
        <w:t xml:space="preserve"> de ce travail</w:t>
      </w:r>
      <w:r w:rsidRPr="000F7265">
        <w:rPr>
          <w:rStyle w:val="fontstyle01"/>
          <w:rFonts w:ascii="Arial" w:hAnsi="Arial" w:cs="Arial"/>
        </w:rPr>
        <w:t xml:space="preserve"> peuvent éclairer le calendrier et l'allocation des ressources concernant l'intervention précoc</w:t>
      </w:r>
      <w:r w:rsidR="00D043D9">
        <w:rPr>
          <w:rStyle w:val="fontstyle01"/>
          <w:rFonts w:ascii="Arial" w:hAnsi="Arial" w:cs="Arial"/>
        </w:rPr>
        <w:t xml:space="preserve">e et les approches préventives. </w:t>
      </w:r>
      <w:r w:rsidRPr="000F7265">
        <w:rPr>
          <w:rStyle w:val="fontstyle01"/>
          <w:rFonts w:ascii="Arial" w:hAnsi="Arial" w:cs="Arial"/>
        </w:rPr>
        <w:t>Les preuves épidémiologiques solides et approfondies fournies ici ont p</w:t>
      </w:r>
      <w:r w:rsidR="00D043D9">
        <w:rPr>
          <w:rStyle w:val="fontstyle01"/>
          <w:rFonts w:ascii="Arial" w:hAnsi="Arial" w:cs="Arial"/>
        </w:rPr>
        <w:t>lusieurs implications cliniques :</w:t>
      </w:r>
      <w:r w:rsidRPr="000F7265">
        <w:rPr>
          <w:rStyle w:val="fontstyle01"/>
          <w:rFonts w:ascii="Arial" w:hAnsi="Arial" w:cs="Arial"/>
        </w:rPr>
        <w:t xml:space="preserve"> </w:t>
      </w:r>
    </w:p>
    <w:p w:rsidR="00584ADD" w:rsidRDefault="007644FD" w:rsidP="007644FD">
      <w:pPr>
        <w:spacing w:line="360" w:lineRule="auto"/>
        <w:jc w:val="both"/>
        <w:rPr>
          <w:rStyle w:val="fontstyle01"/>
          <w:rFonts w:ascii="Arial" w:hAnsi="Arial" w:cs="Arial"/>
        </w:rPr>
      </w:pPr>
      <w:r w:rsidRPr="00D043D9">
        <w:rPr>
          <w:rStyle w:val="fontstyle01"/>
          <w:rFonts w:ascii="Arial" w:hAnsi="Arial" w:cs="Arial"/>
          <w:b/>
        </w:rPr>
        <w:t>Premièrement</w:t>
      </w:r>
      <w:r w:rsidRPr="000F7265">
        <w:rPr>
          <w:rStyle w:val="fontstyle01"/>
          <w:rFonts w:ascii="Arial" w:hAnsi="Arial" w:cs="Arial"/>
        </w:rPr>
        <w:t>, l'apparition du premier trouble mental avant l'âge de 14, 18 et 25 ans chez un tiers, et l'âge pic/médian de 15,5/18 ans démontrent que les troubles mentaux de l'adulte apparaissent tôt au cours des phases neurodéveloppementales de la vie et du pic. Ces résultats suggèrent que la prochaine génération de recherche en santé mentale devrait donner la priorité à la conception et au financement d'interven</w:t>
      </w:r>
      <w:r w:rsidR="008C2490">
        <w:rPr>
          <w:rStyle w:val="fontstyle01"/>
          <w:rFonts w:ascii="Arial" w:hAnsi="Arial" w:cs="Arial"/>
        </w:rPr>
        <w:t xml:space="preserve">tions précoces mondiales </w:t>
      </w:r>
      <w:r w:rsidRPr="000F7265">
        <w:rPr>
          <w:rStyle w:val="fontstyle01"/>
          <w:rFonts w:ascii="Arial" w:hAnsi="Arial" w:cs="Arial"/>
        </w:rPr>
        <w:t>et d'interventions préventives indiquées, sélectives et/ou universelles pour les troubles mentaux au milieu/à la fin de l'adolescence et au début de l'âge adulte q</w:t>
      </w:r>
      <w:r w:rsidR="008C2490">
        <w:rPr>
          <w:rStyle w:val="fontstyle01"/>
          <w:rFonts w:ascii="Arial" w:hAnsi="Arial" w:cs="Arial"/>
        </w:rPr>
        <w:t>ui font actuellement défaut</w:t>
      </w:r>
      <w:r w:rsidRPr="000F7265">
        <w:rPr>
          <w:rStyle w:val="fontstyle01"/>
          <w:rFonts w:ascii="Arial" w:hAnsi="Arial" w:cs="Arial"/>
        </w:rPr>
        <w:t xml:space="preserve">. </w:t>
      </w:r>
    </w:p>
    <w:p w:rsidR="00D043D9" w:rsidRDefault="007644FD" w:rsidP="007644FD">
      <w:pPr>
        <w:spacing w:line="360" w:lineRule="auto"/>
        <w:jc w:val="both"/>
        <w:rPr>
          <w:rStyle w:val="fontstyle01"/>
          <w:rFonts w:ascii="Arial" w:hAnsi="Arial" w:cs="Arial"/>
        </w:rPr>
      </w:pPr>
      <w:r w:rsidRPr="00D043D9">
        <w:rPr>
          <w:rStyle w:val="fontstyle01"/>
          <w:rFonts w:ascii="Arial" w:hAnsi="Arial" w:cs="Arial"/>
          <w:b/>
        </w:rPr>
        <w:t>Deuxièmement</w:t>
      </w:r>
      <w:r w:rsidRPr="000F7265">
        <w:rPr>
          <w:rStyle w:val="fontstyle01"/>
          <w:rFonts w:ascii="Arial" w:hAnsi="Arial" w:cs="Arial"/>
        </w:rPr>
        <w:t>, Il est important de noter que le ciblage de la phase neurodéveloppementale a le potentiel d'accueillir des numérateurs à critères multiples pour les troubles mentaux qui sont essentiels pour mieux justifier le dénominateur des efforts et des coûts pour l'interv</w:t>
      </w:r>
      <w:r w:rsidR="008C2490">
        <w:rPr>
          <w:rStyle w:val="fontstyle01"/>
          <w:rFonts w:ascii="Arial" w:hAnsi="Arial" w:cs="Arial"/>
        </w:rPr>
        <w:t>ention préventive et précoce</w:t>
      </w:r>
      <w:r w:rsidRPr="000F7265">
        <w:rPr>
          <w:rStyle w:val="fontstyle01"/>
          <w:rFonts w:ascii="Arial" w:hAnsi="Arial" w:cs="Arial"/>
        </w:rPr>
        <w:t>. Un âge médian plus élevé au début du trouble pendant la période de transition entre l'adolescence et le dé</w:t>
      </w:r>
      <w:r w:rsidR="00D043D9">
        <w:rPr>
          <w:rStyle w:val="fontstyle01"/>
          <w:rFonts w:ascii="Arial" w:hAnsi="Arial" w:cs="Arial"/>
        </w:rPr>
        <w:t>but de l'âge adulte est apparu</w:t>
      </w:r>
      <w:r w:rsidRPr="000F7265">
        <w:rPr>
          <w:rStyle w:val="fontstyle01"/>
          <w:rFonts w:ascii="Arial" w:hAnsi="Arial" w:cs="Arial"/>
        </w:rPr>
        <w:t xml:space="preserve"> l'anorexie mentale, la boulimie nerveuse, le TOC, l'hyperphagie boulimique et les troubles liés à la consommation de cannabis. Pour ces troubles, une bonne promotion de la santé mentale, une </w:t>
      </w:r>
      <w:r w:rsidRPr="000F7265">
        <w:rPr>
          <w:rStyle w:val="fontstyle01"/>
          <w:rFonts w:ascii="Arial" w:hAnsi="Arial" w:cs="Arial"/>
        </w:rPr>
        <w:lastRenderedPageBreak/>
        <w:t xml:space="preserve">prévention et une intervention précoce pourraient être dispensées dans les écoles </w:t>
      </w:r>
      <w:r w:rsidR="008C2490">
        <w:rPr>
          <w:rStyle w:val="fontstyle01"/>
          <w:rFonts w:ascii="Arial" w:hAnsi="Arial" w:cs="Arial"/>
        </w:rPr>
        <w:t>primaires et secondaires</w:t>
      </w:r>
      <w:r w:rsidRPr="000F7265">
        <w:rPr>
          <w:rStyle w:val="fontstyle01"/>
          <w:rFonts w:ascii="Arial" w:hAnsi="Arial" w:cs="Arial"/>
        </w:rPr>
        <w:t xml:space="preserve">. Un troisième groupe avec un âge médian d'apparition au début de l'âge adulte comprenait la schizophrénie, les </w:t>
      </w:r>
      <w:r w:rsidR="00A27382">
        <w:rPr>
          <w:rStyle w:val="fontstyle01"/>
          <w:rFonts w:ascii="Arial" w:hAnsi="Arial" w:cs="Arial"/>
        </w:rPr>
        <w:t xml:space="preserve">troubles de la personnalité, le trouble </w:t>
      </w:r>
      <w:r w:rsidRPr="000F7265">
        <w:rPr>
          <w:rStyle w:val="fontstyle01"/>
          <w:rFonts w:ascii="Arial" w:hAnsi="Arial" w:cs="Arial"/>
        </w:rPr>
        <w:t xml:space="preserve">panique et la consommation d'alcool, et un quatrième groupe comprenait les troubles restants qui ont un âge médian d'apparition à la fin de l'âge adulte, tels que le SSPT, le TAG, troubles dépressifs et bipolaires, et ATPD. Les écoles secondaires et les collèges pourraient devenir le cadre le plus important pour la promotion de la santé mentale, la prévention et l'intervention précoce dans ces deux groupes de troubles mentaux. Il est important de noter que le diagnostic de trouble de la personnalité est retardé de manière artificielle par des critères diagnostiques permettant un diagnostic après l'âge de 18 ans, et les symptômes cliniquement pertinents apparaissent plus tôt. Pour tous les troubles sensibles à la </w:t>
      </w:r>
      <w:r w:rsidR="008C2490">
        <w:rPr>
          <w:rStyle w:val="fontstyle01"/>
          <w:rFonts w:ascii="Arial" w:hAnsi="Arial" w:cs="Arial"/>
        </w:rPr>
        <w:t>culture et à l'éthique</w:t>
      </w:r>
      <w:r w:rsidRPr="000F7265">
        <w:rPr>
          <w:rStyle w:val="fontstyle01"/>
          <w:rFonts w:ascii="Arial" w:hAnsi="Arial" w:cs="Arial"/>
        </w:rPr>
        <w:t>, la promotion d'une bonne santé mentale la prévention et l'intervention précoce devraient idéalement être dispensées de manière intégrée qui englobe les écoles/collèges et les pédiatres/médecins généralistes, services, les établissements de santé mentale, ainsi q</w:t>
      </w:r>
      <w:r w:rsidR="008C2490">
        <w:rPr>
          <w:rStyle w:val="fontstyle01"/>
          <w:rFonts w:ascii="Arial" w:hAnsi="Arial" w:cs="Arial"/>
        </w:rPr>
        <w:t>ue la communauté en général</w:t>
      </w:r>
      <w:r w:rsidR="00D043D9">
        <w:rPr>
          <w:rStyle w:val="fontstyle01"/>
          <w:rFonts w:ascii="Arial" w:hAnsi="Arial" w:cs="Arial"/>
        </w:rPr>
        <w:t xml:space="preserve">. </w:t>
      </w:r>
    </w:p>
    <w:p w:rsidR="00D043D9" w:rsidRDefault="007644FD" w:rsidP="007644FD">
      <w:pPr>
        <w:spacing w:line="360" w:lineRule="auto"/>
        <w:jc w:val="both"/>
        <w:rPr>
          <w:rStyle w:val="fontstyle01"/>
          <w:rFonts w:ascii="Arial" w:hAnsi="Arial" w:cs="Arial"/>
        </w:rPr>
      </w:pPr>
      <w:r w:rsidRPr="00D043D9">
        <w:rPr>
          <w:rStyle w:val="fontstyle01"/>
          <w:rFonts w:ascii="Arial" w:hAnsi="Arial" w:cs="Arial"/>
          <w:b/>
        </w:rPr>
        <w:t>Troisièmement</w:t>
      </w:r>
      <w:r w:rsidRPr="000F7265">
        <w:rPr>
          <w:rStyle w:val="fontstyle01"/>
          <w:rFonts w:ascii="Arial" w:hAnsi="Arial" w:cs="Arial"/>
        </w:rPr>
        <w:t>, une autre implication clinique plus large de ces résultats est qu'ils démontrent que l'âge de 18 ans comme seuil d'admission pour les services de santé mentale pour adultes est artificiel et non basé sur des preuves épidémiologiques globales.</w:t>
      </w:r>
      <w:r w:rsidR="0046062A">
        <w:rPr>
          <w:rStyle w:val="fontstyle01"/>
          <w:rFonts w:ascii="Arial" w:hAnsi="Arial" w:cs="Arial"/>
        </w:rPr>
        <w:t xml:space="preserve"> </w:t>
      </w:r>
      <w:r w:rsidRPr="000F7265">
        <w:rPr>
          <w:rStyle w:val="fontstyle01"/>
          <w:rFonts w:ascii="Arial" w:hAnsi="Arial" w:cs="Arial"/>
        </w:rPr>
        <w:t>Les futures réformes de la santé mentale pourraient tirer parti et affiner les services cliniques à haut risque pour les jeunes à risque de psychose, qui acceptent généralement les références âgées de 14 à 35 ans et fournissent donc des soins de transition essentiels à cette jeune po</w:t>
      </w:r>
      <w:r w:rsidR="008C2490">
        <w:rPr>
          <w:rStyle w:val="fontstyle01"/>
          <w:rFonts w:ascii="Arial" w:hAnsi="Arial" w:cs="Arial"/>
        </w:rPr>
        <w:t>pulation vulnérable</w:t>
      </w:r>
      <w:r w:rsidRPr="000F7265">
        <w:rPr>
          <w:rStyle w:val="fontstyle01"/>
          <w:rFonts w:ascii="Arial" w:hAnsi="Arial" w:cs="Arial"/>
        </w:rPr>
        <w:t xml:space="preserve">. </w:t>
      </w:r>
    </w:p>
    <w:p w:rsidR="00976A09" w:rsidRPr="000F7265" w:rsidRDefault="00976A09" w:rsidP="007644FD">
      <w:pPr>
        <w:spacing w:line="360" w:lineRule="auto"/>
        <w:jc w:val="both"/>
        <w:rPr>
          <w:rStyle w:val="fontstyle01"/>
          <w:rFonts w:ascii="Arial" w:hAnsi="Arial" w:cs="Arial"/>
        </w:rPr>
      </w:pPr>
    </w:p>
    <w:p w:rsidR="006472DB" w:rsidRPr="000F7265" w:rsidRDefault="00D102D5" w:rsidP="007644FD">
      <w:pPr>
        <w:spacing w:line="360" w:lineRule="auto"/>
        <w:jc w:val="both"/>
        <w:rPr>
          <w:rFonts w:ascii="Arial" w:hAnsi="Arial" w:cs="Arial"/>
          <w:b/>
          <w:bCs/>
          <w:sz w:val="20"/>
          <w:szCs w:val="20"/>
        </w:rPr>
      </w:pPr>
      <w:r w:rsidRPr="000F7265">
        <w:rPr>
          <w:rFonts w:ascii="Arial" w:hAnsi="Arial" w:cs="Arial"/>
          <w:b/>
          <w:bCs/>
          <w:sz w:val="20"/>
          <w:szCs w:val="20"/>
        </w:rPr>
        <w:t>CONCLUSION</w:t>
      </w:r>
    </w:p>
    <w:p w:rsidR="00BF35A0" w:rsidRDefault="004A221C" w:rsidP="007644FD">
      <w:pPr>
        <w:spacing w:line="360" w:lineRule="auto"/>
        <w:jc w:val="both"/>
        <w:rPr>
          <w:rStyle w:val="fontstyle01"/>
          <w:rFonts w:ascii="Arial" w:hAnsi="Arial" w:cs="Arial"/>
        </w:rPr>
      </w:pPr>
      <w:r w:rsidRPr="000F7265">
        <w:rPr>
          <w:rStyle w:val="fontstyle01"/>
          <w:rFonts w:ascii="Arial" w:hAnsi="Arial" w:cs="Arial"/>
        </w:rPr>
        <w:t>Les preuves méta-analytiques, mondiales et épidémiologiques fournies remettent en question le système actuel de soins de santé mentale qui sépare artificiellement les services de santé mentale pour enfants/adolescents et adultes, fournissant des preuves épidémiologiques solides pour la mise en œuvre mondiale de modèles intégrés de promotion de la santé mentale et de soins préventifs/d'intervention précoce pour les jeunes de la communauté, ceux à risque et présentant des troubles mentaux manifestes.</w:t>
      </w:r>
    </w:p>
    <w:p w:rsidR="00BF35A0" w:rsidRDefault="00BF35A0" w:rsidP="007644FD">
      <w:pPr>
        <w:spacing w:line="360" w:lineRule="auto"/>
        <w:jc w:val="both"/>
        <w:rPr>
          <w:rStyle w:val="fontstyle01"/>
          <w:rFonts w:ascii="Arial" w:hAnsi="Arial" w:cs="Arial"/>
        </w:rPr>
      </w:pPr>
    </w:p>
    <w:p w:rsidR="00BF35A0" w:rsidRPr="00BF35A0" w:rsidRDefault="00BF35A0" w:rsidP="00BF35A0">
      <w:pPr>
        <w:spacing w:line="240" w:lineRule="auto"/>
        <w:jc w:val="right"/>
        <w:rPr>
          <w:rFonts w:ascii="Arial" w:hAnsi="Arial" w:cs="Arial"/>
          <w:sz w:val="20"/>
          <w:szCs w:val="20"/>
        </w:rPr>
      </w:pPr>
      <w:r w:rsidRPr="00BF35A0">
        <w:rPr>
          <w:rFonts w:ascii="Arial" w:hAnsi="Arial" w:cs="Arial"/>
          <w:sz w:val="20"/>
          <w:szCs w:val="20"/>
        </w:rPr>
        <w:t xml:space="preserve">Dr Hicham </w:t>
      </w:r>
      <w:proofErr w:type="spellStart"/>
      <w:r w:rsidRPr="00BF35A0">
        <w:rPr>
          <w:rFonts w:ascii="Arial" w:hAnsi="Arial" w:cs="Arial"/>
          <w:sz w:val="20"/>
          <w:szCs w:val="20"/>
        </w:rPr>
        <w:t>Laaraj</w:t>
      </w:r>
      <w:proofErr w:type="spellEnd"/>
    </w:p>
    <w:p w:rsidR="00BF35A0" w:rsidRPr="00BF35A0" w:rsidRDefault="00BF35A0" w:rsidP="00BF35A0">
      <w:pPr>
        <w:spacing w:line="240" w:lineRule="auto"/>
        <w:jc w:val="right"/>
        <w:rPr>
          <w:rFonts w:ascii="Arial" w:hAnsi="Arial" w:cs="Arial"/>
          <w:sz w:val="20"/>
          <w:szCs w:val="20"/>
        </w:rPr>
      </w:pPr>
      <w:r w:rsidRPr="00BF35A0">
        <w:rPr>
          <w:rFonts w:ascii="Arial" w:hAnsi="Arial" w:cs="Arial"/>
          <w:sz w:val="20"/>
          <w:szCs w:val="20"/>
        </w:rPr>
        <w:t>Service de Psychiatrie</w:t>
      </w:r>
    </w:p>
    <w:p w:rsidR="00BF35A0" w:rsidRPr="00BF35A0" w:rsidRDefault="00BF35A0" w:rsidP="00BF35A0">
      <w:pPr>
        <w:spacing w:line="240" w:lineRule="auto"/>
        <w:jc w:val="right"/>
        <w:rPr>
          <w:rFonts w:ascii="Arial" w:hAnsi="Arial" w:cs="Arial"/>
          <w:sz w:val="20"/>
          <w:szCs w:val="20"/>
        </w:rPr>
      </w:pPr>
      <w:r w:rsidRPr="00BF35A0">
        <w:rPr>
          <w:rFonts w:ascii="Arial" w:hAnsi="Arial" w:cs="Arial"/>
          <w:sz w:val="20"/>
          <w:szCs w:val="20"/>
        </w:rPr>
        <w:t>CHU Agadir</w:t>
      </w:r>
    </w:p>
    <w:p w:rsidR="00BF35A0" w:rsidRPr="000F7265" w:rsidRDefault="00485F0D" w:rsidP="00BF35A0">
      <w:pPr>
        <w:spacing w:line="240" w:lineRule="auto"/>
        <w:jc w:val="right"/>
        <w:rPr>
          <w:rFonts w:ascii="Arial" w:hAnsi="Arial" w:cs="Arial"/>
          <w:sz w:val="20"/>
          <w:szCs w:val="20"/>
        </w:rPr>
      </w:pPr>
      <w:r>
        <w:rPr>
          <w:rFonts w:ascii="Arial" w:hAnsi="Arial" w:cs="Arial"/>
          <w:sz w:val="20"/>
          <w:szCs w:val="20"/>
        </w:rPr>
        <w:t>Juillet</w:t>
      </w:r>
      <w:r w:rsidR="00BF35A0" w:rsidRPr="00BF35A0">
        <w:rPr>
          <w:rFonts w:ascii="Arial" w:hAnsi="Arial" w:cs="Arial"/>
          <w:sz w:val="20"/>
          <w:szCs w:val="20"/>
        </w:rPr>
        <w:t xml:space="preserve"> 2021</w:t>
      </w:r>
    </w:p>
    <w:sectPr w:rsidR="00BF35A0" w:rsidRPr="000F72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f9433e2d">
    <w:altName w:val="Times New Roman"/>
    <w:panose1 w:val="00000000000000000000"/>
    <w:charset w:val="00"/>
    <w:family w:val="roman"/>
    <w:notTrueType/>
    <w:pitch w:val="default"/>
  </w:font>
  <w:font w:name="AdvOTb4af3d5d.I">
    <w:altName w:val="Times New Roman"/>
    <w:panose1 w:val="00000000000000000000"/>
    <w:charset w:val="00"/>
    <w:family w:val="roman"/>
    <w:notTrueType/>
    <w:pitch w:val="default"/>
  </w:font>
  <w:font w:name="AdvTTab7e17fd">
    <w:altName w:val="Times New Roman"/>
    <w:panose1 w:val="00000000000000000000"/>
    <w:charset w:val="00"/>
    <w:family w:val="roman"/>
    <w:notTrueType/>
    <w:pitch w:val="default"/>
  </w:font>
  <w:font w:name="AdvOTf9433e2d+20">
    <w:altName w:val="Times New Roman"/>
    <w:panose1 w:val="00000000000000000000"/>
    <w:charset w:val="00"/>
    <w:family w:val="roman"/>
    <w:notTrueType/>
    <w:pitch w:val="default"/>
  </w:font>
  <w:font w:name="AdvOTf9433e2d+fb">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7F22"/>
    <w:multiLevelType w:val="hybridMultilevel"/>
    <w:tmpl w:val="1B5E65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66A4771"/>
    <w:multiLevelType w:val="hybridMultilevel"/>
    <w:tmpl w:val="D870E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D6"/>
    <w:rsid w:val="0005502C"/>
    <w:rsid w:val="000F7265"/>
    <w:rsid w:val="0013396C"/>
    <w:rsid w:val="001D2F4E"/>
    <w:rsid w:val="00203183"/>
    <w:rsid w:val="002A3B3D"/>
    <w:rsid w:val="0038247F"/>
    <w:rsid w:val="00382D79"/>
    <w:rsid w:val="003836E6"/>
    <w:rsid w:val="0046062A"/>
    <w:rsid w:val="004735E9"/>
    <w:rsid w:val="00474961"/>
    <w:rsid w:val="00485F0D"/>
    <w:rsid w:val="004A221C"/>
    <w:rsid w:val="004F0A04"/>
    <w:rsid w:val="0053608E"/>
    <w:rsid w:val="00571FB9"/>
    <w:rsid w:val="00584ADD"/>
    <w:rsid w:val="005C480E"/>
    <w:rsid w:val="005C5120"/>
    <w:rsid w:val="005F4368"/>
    <w:rsid w:val="0062688A"/>
    <w:rsid w:val="006449A2"/>
    <w:rsid w:val="006472DB"/>
    <w:rsid w:val="006644F7"/>
    <w:rsid w:val="0068031E"/>
    <w:rsid w:val="006D52C6"/>
    <w:rsid w:val="00761922"/>
    <w:rsid w:val="007644FD"/>
    <w:rsid w:val="007A0D88"/>
    <w:rsid w:val="007D4FBC"/>
    <w:rsid w:val="00816740"/>
    <w:rsid w:val="008C2490"/>
    <w:rsid w:val="009239BB"/>
    <w:rsid w:val="00960585"/>
    <w:rsid w:val="00976A09"/>
    <w:rsid w:val="00983FA3"/>
    <w:rsid w:val="009E6390"/>
    <w:rsid w:val="00A27382"/>
    <w:rsid w:val="00B85BC3"/>
    <w:rsid w:val="00BB7DCC"/>
    <w:rsid w:val="00BF35A0"/>
    <w:rsid w:val="00C42DE4"/>
    <w:rsid w:val="00D043D9"/>
    <w:rsid w:val="00D102D5"/>
    <w:rsid w:val="00D30E4A"/>
    <w:rsid w:val="00D41DD6"/>
    <w:rsid w:val="00E173AE"/>
    <w:rsid w:val="00E949FA"/>
    <w:rsid w:val="00F0115D"/>
    <w:rsid w:val="00F809F2"/>
    <w:rsid w:val="00F85EC5"/>
    <w:rsid w:val="00FF6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3C5F3-10F1-411E-8E88-36A59FEC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85EC5"/>
    <w:rPr>
      <w:rFonts w:ascii="AdvOTf9433e2d" w:hAnsi="AdvOTf9433e2d" w:hint="default"/>
      <w:b w:val="0"/>
      <w:bCs w:val="0"/>
      <w:i w:val="0"/>
      <w:iCs w:val="0"/>
      <w:color w:val="000000"/>
      <w:sz w:val="20"/>
      <w:szCs w:val="20"/>
    </w:rPr>
  </w:style>
  <w:style w:type="character" w:customStyle="1" w:styleId="fontstyle21">
    <w:name w:val="fontstyle21"/>
    <w:basedOn w:val="Policepardfaut"/>
    <w:rsid w:val="00F85EC5"/>
    <w:rPr>
      <w:rFonts w:ascii="AdvOTb4af3d5d.I" w:hAnsi="AdvOTb4af3d5d.I" w:hint="default"/>
      <w:b w:val="0"/>
      <w:bCs w:val="0"/>
      <w:i w:val="0"/>
      <w:iCs w:val="0"/>
      <w:color w:val="000000"/>
      <w:sz w:val="20"/>
      <w:szCs w:val="20"/>
    </w:rPr>
  </w:style>
  <w:style w:type="character" w:customStyle="1" w:styleId="fontstyle31">
    <w:name w:val="fontstyle31"/>
    <w:basedOn w:val="Policepardfaut"/>
    <w:rsid w:val="00F85EC5"/>
    <w:rPr>
      <w:rFonts w:ascii="AdvTTab7e17fd" w:hAnsi="AdvTTab7e17fd" w:hint="default"/>
      <w:b w:val="0"/>
      <w:bCs w:val="0"/>
      <w:i w:val="0"/>
      <w:iCs w:val="0"/>
      <w:color w:val="000000"/>
      <w:sz w:val="20"/>
      <w:szCs w:val="20"/>
    </w:rPr>
  </w:style>
  <w:style w:type="character" w:customStyle="1" w:styleId="fontstyle41">
    <w:name w:val="fontstyle41"/>
    <w:basedOn w:val="Policepardfaut"/>
    <w:rsid w:val="00F85EC5"/>
    <w:rPr>
      <w:rFonts w:ascii="AdvOTf9433e2d+20" w:hAnsi="AdvOTf9433e2d+20" w:hint="default"/>
      <w:b w:val="0"/>
      <w:bCs w:val="0"/>
      <w:i w:val="0"/>
      <w:iCs w:val="0"/>
      <w:color w:val="000000"/>
      <w:sz w:val="20"/>
      <w:szCs w:val="20"/>
    </w:rPr>
  </w:style>
  <w:style w:type="character" w:customStyle="1" w:styleId="fontstyle51">
    <w:name w:val="fontstyle51"/>
    <w:basedOn w:val="Policepardfaut"/>
    <w:rsid w:val="00F85EC5"/>
    <w:rPr>
      <w:rFonts w:ascii="AdvOTf9433e2d+fb" w:hAnsi="AdvOTf9433e2d+fb" w:hint="default"/>
      <w:b w:val="0"/>
      <w:bCs w:val="0"/>
      <w:i w:val="0"/>
      <w:iCs w:val="0"/>
      <w:color w:val="000000"/>
      <w:sz w:val="20"/>
      <w:szCs w:val="20"/>
    </w:rPr>
  </w:style>
  <w:style w:type="paragraph" w:styleId="Paragraphedeliste">
    <w:name w:val="List Paragraph"/>
    <w:basedOn w:val="Normal"/>
    <w:uiPriority w:val="34"/>
    <w:qFormat/>
    <w:rsid w:val="0013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00098">
      <w:bodyDiv w:val="1"/>
      <w:marLeft w:val="0"/>
      <w:marRight w:val="0"/>
      <w:marTop w:val="0"/>
      <w:marBottom w:val="0"/>
      <w:divBdr>
        <w:top w:val="none" w:sz="0" w:space="0" w:color="auto"/>
        <w:left w:val="none" w:sz="0" w:space="0" w:color="auto"/>
        <w:bottom w:val="none" w:sz="0" w:space="0" w:color="auto"/>
        <w:right w:val="none" w:sz="0" w:space="0" w:color="auto"/>
      </w:divBdr>
    </w:div>
    <w:div w:id="1867059792">
      <w:bodyDiv w:val="1"/>
      <w:marLeft w:val="0"/>
      <w:marRight w:val="0"/>
      <w:marTop w:val="0"/>
      <w:marBottom w:val="0"/>
      <w:divBdr>
        <w:top w:val="none" w:sz="0" w:space="0" w:color="auto"/>
        <w:left w:val="none" w:sz="0" w:space="0" w:color="auto"/>
        <w:bottom w:val="none" w:sz="0" w:space="0" w:color="auto"/>
        <w:right w:val="none" w:sz="0" w:space="0" w:color="auto"/>
      </w:divBdr>
      <w:divsChild>
        <w:div w:id="1696035534">
          <w:marLeft w:val="0"/>
          <w:marRight w:val="0"/>
          <w:marTop w:val="0"/>
          <w:marBottom w:val="0"/>
          <w:divBdr>
            <w:top w:val="none" w:sz="0" w:space="0" w:color="auto"/>
            <w:left w:val="none" w:sz="0" w:space="0" w:color="auto"/>
            <w:bottom w:val="none" w:sz="0" w:space="0" w:color="auto"/>
            <w:right w:val="none" w:sz="0" w:space="0" w:color="auto"/>
          </w:divBdr>
          <w:divsChild>
            <w:div w:id="551428608">
              <w:marLeft w:val="0"/>
              <w:marRight w:val="0"/>
              <w:marTop w:val="0"/>
              <w:marBottom w:val="0"/>
              <w:divBdr>
                <w:top w:val="none" w:sz="0" w:space="0" w:color="auto"/>
                <w:left w:val="none" w:sz="0" w:space="0" w:color="auto"/>
                <w:bottom w:val="none" w:sz="0" w:space="0" w:color="auto"/>
                <w:right w:val="none" w:sz="0" w:space="0" w:color="auto"/>
              </w:divBdr>
              <w:divsChild>
                <w:div w:id="1149203128">
                  <w:marLeft w:val="0"/>
                  <w:marRight w:val="0"/>
                  <w:marTop w:val="0"/>
                  <w:marBottom w:val="0"/>
                  <w:divBdr>
                    <w:top w:val="none" w:sz="0" w:space="0" w:color="auto"/>
                    <w:left w:val="none" w:sz="0" w:space="0" w:color="auto"/>
                    <w:bottom w:val="none" w:sz="0" w:space="0" w:color="auto"/>
                    <w:right w:val="none" w:sz="0" w:space="0" w:color="auto"/>
                  </w:divBdr>
                  <w:divsChild>
                    <w:div w:id="1334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1248</Words>
  <Characters>6864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surface</cp:lastModifiedBy>
  <cp:revision>6</cp:revision>
  <dcterms:created xsi:type="dcterms:W3CDTF">2021-07-15T16:53:00Z</dcterms:created>
  <dcterms:modified xsi:type="dcterms:W3CDTF">2021-07-20T10:18:00Z</dcterms:modified>
</cp:coreProperties>
</file>