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60" w:rsidRDefault="005E3D60" w:rsidP="005E3D60">
      <w:pPr>
        <w:ind w:hanging="851"/>
        <w:rPr>
          <w:b/>
          <w:bCs/>
          <w:color w:val="FF0000"/>
          <w:u w:val="single"/>
        </w:rPr>
      </w:pPr>
      <w:r>
        <w:rPr>
          <w:sz w:val="12"/>
          <w:szCs w:val="12"/>
          <w:lang w:eastAsia="fr-FR"/>
        </w:rPr>
        <w:drawing>
          <wp:inline distT="0" distB="0" distL="0" distR="0">
            <wp:extent cx="6966071" cy="1385455"/>
            <wp:effectExtent l="19050" t="0" r="6229" b="0"/>
            <wp:docPr id="1" name="Image 1" descr="C:\Users\USER\Desktop\jui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uillet.png"/>
                    <pic:cNvPicPr>
                      <a:picLocks noChangeAspect="1" noChangeArrowheads="1"/>
                    </pic:cNvPicPr>
                  </pic:nvPicPr>
                  <pic:blipFill>
                    <a:blip r:embed="rId7" cstate="print"/>
                    <a:srcRect/>
                    <a:stretch>
                      <a:fillRect/>
                    </a:stretch>
                  </pic:blipFill>
                  <pic:spPr bwMode="auto">
                    <a:xfrm>
                      <a:off x="0" y="0"/>
                      <a:ext cx="6972636" cy="1386761"/>
                    </a:xfrm>
                    <a:prstGeom prst="rect">
                      <a:avLst/>
                    </a:prstGeom>
                    <a:noFill/>
                    <a:ln w="9525">
                      <a:noFill/>
                      <a:miter lim="800000"/>
                      <a:headEnd/>
                      <a:tailEnd/>
                    </a:ln>
                  </pic:spPr>
                </pic:pic>
              </a:graphicData>
            </a:graphic>
          </wp:inline>
        </w:drawing>
      </w:r>
    </w:p>
    <w:p w:rsidR="005E3D60" w:rsidRDefault="005E3D60" w:rsidP="005E3D60">
      <w:pPr>
        <w:ind w:hanging="851"/>
        <w:rPr>
          <w:b/>
          <w:bCs/>
          <w:color w:val="FF0000"/>
          <w:u w:val="single"/>
        </w:rPr>
      </w:pPr>
    </w:p>
    <w:p w:rsidR="005E3D60" w:rsidRDefault="005E3D60" w:rsidP="0061014E">
      <w:pPr>
        <w:jc w:val="center"/>
        <w:rPr>
          <w:b/>
          <w:bCs/>
          <w:color w:val="FF0000"/>
          <w:sz w:val="24"/>
          <w:szCs w:val="24"/>
          <w:u w:val="single"/>
        </w:rPr>
      </w:pPr>
      <w:r w:rsidRPr="005E3D60">
        <w:rPr>
          <w:b/>
          <w:bCs/>
          <w:color w:val="FF0000"/>
          <w:sz w:val="24"/>
          <w:szCs w:val="24"/>
          <w:u w:val="single"/>
        </w:rPr>
        <w:t>MEDICAMENTS ANTICONVULSIVANTS ET ANTIPSYCHOTIQUES DANS LA PHARMACOTHERAPIE DU TROUBL</w:t>
      </w:r>
      <w:r>
        <w:rPr>
          <w:b/>
          <w:bCs/>
          <w:color w:val="FF0000"/>
          <w:sz w:val="24"/>
          <w:szCs w:val="24"/>
          <w:u w:val="single"/>
        </w:rPr>
        <w:t>E</w:t>
      </w:r>
      <w:r w:rsidR="008760CC">
        <w:rPr>
          <w:b/>
          <w:bCs/>
          <w:color w:val="FF0000"/>
          <w:sz w:val="24"/>
          <w:szCs w:val="24"/>
          <w:u w:val="single"/>
        </w:rPr>
        <w:t xml:space="preserve"> </w:t>
      </w:r>
      <w:r>
        <w:rPr>
          <w:b/>
          <w:bCs/>
          <w:color w:val="FF0000"/>
          <w:sz w:val="24"/>
          <w:szCs w:val="24"/>
          <w:u w:val="single"/>
        </w:rPr>
        <w:t>PANIQUE : UNE REVUE STRUCTUREE.</w:t>
      </w:r>
    </w:p>
    <w:p w:rsidR="00BB43C8" w:rsidRPr="00BB43C8" w:rsidRDefault="00C6275B" w:rsidP="005E3D60">
      <w:pPr>
        <w:jc w:val="both"/>
        <w:rPr>
          <w:b/>
          <w:bCs/>
          <w:color w:val="FF0000"/>
          <w:u w:val="single"/>
        </w:rPr>
      </w:pPr>
      <w:r w:rsidRPr="00BB43C8">
        <w:rPr>
          <w:b/>
          <w:bCs/>
          <w:color w:val="FF0000"/>
          <w:u w:val="single"/>
        </w:rPr>
        <w:t xml:space="preserve">Contexte : </w:t>
      </w:r>
    </w:p>
    <w:p w:rsidR="00C6275B" w:rsidRPr="00BB43C8" w:rsidRDefault="00C6275B" w:rsidP="0061014E">
      <w:pPr>
        <w:jc w:val="both"/>
      </w:pPr>
      <w:r w:rsidRPr="00BB43C8">
        <w:t>Comme le taux de rémission du trouble</w:t>
      </w:r>
      <w:r w:rsidR="008760CC">
        <w:t xml:space="preserve"> </w:t>
      </w:r>
      <w:r w:rsidRPr="00BB43C8">
        <w:t xml:space="preserve">panique (TP) atteint avec la pharmacothérapie conventionnelle varie entre 20 et 50 %, des stratégies psychopharmacologiques alternatives sont nécessaires. </w:t>
      </w:r>
      <w:r w:rsidR="00AE3EA5">
        <w:t>L’</w:t>
      </w:r>
      <w:r w:rsidRPr="00BB43C8">
        <w:t xml:space="preserve">objectif </w:t>
      </w:r>
      <w:r w:rsidR="00AE3EA5">
        <w:t xml:space="preserve">de cette étude </w:t>
      </w:r>
      <w:r w:rsidRPr="00BB43C8">
        <w:t xml:space="preserve">était d'abord d'examiner les données concernant l'utilisation de médicaments antipsychotiques et anticonvulsivants autres que les benzodiazépines chez les patients atteints de trouble panique avec ou sans comorbidités ; ensuite, d'examiner les données concernant la réduction des symptômes de panique pendant le traitement d'un autre trouble psychiatrique avec les mêmes médicaments ; et enfin, d'examiner les rapports de </w:t>
      </w:r>
      <w:r w:rsidR="00A726D9">
        <w:t>la symptomatologie récente du TP</w:t>
      </w:r>
      <w:r w:rsidRPr="00BB43C8">
        <w:t xml:space="preserve"> induite par les anticonvulsivants ou les antipsychotiques.</w:t>
      </w:r>
    </w:p>
    <w:p w:rsidR="00BB43C8" w:rsidRPr="00BB43C8" w:rsidRDefault="00C6275B" w:rsidP="005E3D60">
      <w:pPr>
        <w:jc w:val="both"/>
        <w:rPr>
          <w:b/>
          <w:bCs/>
          <w:color w:val="FF0000"/>
          <w:u w:val="single"/>
        </w:rPr>
      </w:pPr>
      <w:r w:rsidRPr="00BB43C8">
        <w:rPr>
          <w:b/>
          <w:bCs/>
          <w:color w:val="FF0000"/>
          <w:u w:val="single"/>
        </w:rPr>
        <w:t xml:space="preserve">Méthodes : </w:t>
      </w:r>
    </w:p>
    <w:p w:rsidR="00C6275B" w:rsidRPr="00BB43C8" w:rsidRDefault="00AE3EA5" w:rsidP="00AE3EA5">
      <w:pPr>
        <w:jc w:val="both"/>
      </w:pPr>
      <w:r>
        <w:t>U</w:t>
      </w:r>
      <w:r w:rsidR="00C6275B" w:rsidRPr="00BB43C8">
        <w:t>ne recherche PubMe</w:t>
      </w:r>
      <w:r w:rsidR="00A726D9">
        <w:t xml:space="preserve">d </w:t>
      </w:r>
      <w:r w:rsidR="00C6275B" w:rsidRPr="00BB43C8">
        <w:t xml:space="preserve"> </w:t>
      </w:r>
      <w:r>
        <w:t>a été effectué</w:t>
      </w:r>
      <w:r w:rsidR="00F13CCE">
        <w:t>e</w:t>
      </w:r>
      <w:r>
        <w:t xml:space="preserve"> rassemblant plusieurs </w:t>
      </w:r>
      <w:r w:rsidR="00C6275B" w:rsidRPr="00BB43C8">
        <w:t>études en langue anglaise uniquement, en combinant des termes psychopathologiques (par exemple " trouble panique ") et des termes se référant soit à des catégories de médicaments psychotropes (par exemple " anticonvulsivants "), soit à des médicaments spécifiques (par exemple " carbamazépine "). Tous les doublons ont été éliminés. Toutes les études incluses dans l'examen répondaient à certains critères d'inclusion/exclusion. Le niveau de preuve de l'efficacité de chaque médicament a été défini selon des critères largement acceptés.</w:t>
      </w:r>
    </w:p>
    <w:p w:rsidR="00BB43C8" w:rsidRPr="00BB43C8" w:rsidRDefault="00C6275B" w:rsidP="005E3D60">
      <w:pPr>
        <w:jc w:val="both"/>
        <w:rPr>
          <w:b/>
          <w:bCs/>
          <w:color w:val="FF0000"/>
          <w:u w:val="single"/>
        </w:rPr>
      </w:pPr>
      <w:r w:rsidRPr="00BB43C8">
        <w:rPr>
          <w:b/>
          <w:bCs/>
          <w:color w:val="FF0000"/>
          <w:u w:val="single"/>
        </w:rPr>
        <w:t xml:space="preserve">Résultats : </w:t>
      </w:r>
    </w:p>
    <w:p w:rsidR="00992130" w:rsidRDefault="005B5745" w:rsidP="005B5745">
      <w:pPr>
        <w:jc w:val="both"/>
      </w:pPr>
      <w:r>
        <w:t xml:space="preserve">Dans le </w:t>
      </w:r>
      <w:r w:rsidRPr="00BB43C8">
        <w:t>TP</w:t>
      </w:r>
      <w:r>
        <w:t xml:space="preserve"> résistant a</w:t>
      </w:r>
      <w:r w:rsidR="00C6275B" w:rsidRPr="00BB43C8">
        <w:t>u traitement, des effets bénéfiques ont été rapportés après un traitement (principalem</w:t>
      </w:r>
      <w:r w:rsidR="00A726D9">
        <w:t>ent un traitement de potentialisation</w:t>
      </w:r>
      <w:r w:rsidR="00C6275B" w:rsidRPr="00BB43C8">
        <w:t>) avec une gamme d'anticonvulsivants (carbamazépine, gabapentin, lamotrigine, levetiracetam, oxcarbamazépine, valproate, vigabatrin, tiagabine) et d'antipsychotiques (aripiprazole, olanza</w:t>
      </w:r>
      <w:r w:rsidR="000D0DA8">
        <w:t>pine, rispéridone, sulpiride).</w:t>
      </w:r>
    </w:p>
    <w:p w:rsidR="00C6275B" w:rsidRDefault="00992130" w:rsidP="00992130">
      <w:pPr>
        <w:jc w:val="both"/>
      </w:pPr>
      <w:r>
        <w:t>D</w:t>
      </w:r>
      <w:r w:rsidR="00C6275B" w:rsidRPr="00BB43C8">
        <w:t>ans l'ensemble, la plupart des médicaments semblent généralement bien tolérés. De plus, les patients bipolaires recevant du valproate ou de la quétiapine-XR (mais pas de la rispéridone ou de la ziprasidone) ont montré une réduction des symptômes comorbides liés à la panique. Il existe des rapports de cas de nouveaux symptômes de panique associés à la clozapine, à l'halopéridol, à l'olanzapine et au topiramate, chez des patients souffrant de pathologies autres que la maladie de Parkinson. La taille réduite ou modeste des échantillons, l'absence de groupes témoins et la nature ouverte et à court terme de la plupart des études examinées empêchent de tirer des conclusions définitives sur l'efficacité à court et à long terme des antipsychotiques et des anticonvulsivants ou sur leurs effets secondaires potentiels à long terme.</w:t>
      </w:r>
    </w:p>
    <w:p w:rsidR="004C4E80" w:rsidRPr="00BB4D3B" w:rsidRDefault="000D0DA8" w:rsidP="00BB4D3B">
      <w:pPr>
        <w:jc w:val="both"/>
      </w:pPr>
      <w:r w:rsidRPr="000D0DA8">
        <w:lastRenderedPageBreak/>
        <w:t xml:space="preserve">Les anticonvulsivants suivants (par ordre alphabétique) ont été utilisés chez des patients ayant un diagnostic primaire de </w:t>
      </w:r>
      <w:r w:rsidR="005B5745" w:rsidRPr="00BB43C8">
        <w:t>TP</w:t>
      </w:r>
      <w:r w:rsidRPr="000D0DA8">
        <w:t xml:space="preserve">, ou de la </w:t>
      </w:r>
      <w:r w:rsidR="005B5745" w:rsidRPr="00BB43C8">
        <w:t>TP</w:t>
      </w:r>
      <w:r w:rsidRPr="000D0DA8">
        <w:t xml:space="preserve"> sans comorbidité</w:t>
      </w:r>
      <w:r w:rsidR="00BB4D3B">
        <w:t xml:space="preserve"> dans ce tableau ci dessous</w:t>
      </w:r>
      <w:r w:rsidRPr="000D0DA8">
        <w:rPr>
          <w:b/>
          <w:bCs/>
          <w:color w:val="00B050"/>
        </w:rPr>
        <w:t> </w:t>
      </w:r>
      <w:r>
        <w:t>:</w:t>
      </w:r>
    </w:p>
    <w:tbl>
      <w:tblPr>
        <w:tblStyle w:val="Grilledutableau"/>
        <w:tblW w:w="11341" w:type="dxa"/>
        <w:tblInd w:w="-1026" w:type="dxa"/>
        <w:tblLayout w:type="fixed"/>
        <w:tblLook w:val="04A0" w:firstRow="1" w:lastRow="0" w:firstColumn="1" w:lastColumn="0" w:noHBand="0" w:noVBand="1"/>
      </w:tblPr>
      <w:tblGrid>
        <w:gridCol w:w="850"/>
        <w:gridCol w:w="1135"/>
        <w:gridCol w:w="850"/>
        <w:gridCol w:w="709"/>
        <w:gridCol w:w="709"/>
        <w:gridCol w:w="850"/>
        <w:gridCol w:w="2835"/>
        <w:gridCol w:w="3403"/>
      </w:tblGrid>
      <w:tr w:rsidR="004C4E80" w:rsidTr="0061014E">
        <w:tc>
          <w:tcPr>
            <w:tcW w:w="850" w:type="dxa"/>
          </w:tcPr>
          <w:p w:rsidR="004C4E80" w:rsidRPr="000D0DA8" w:rsidRDefault="004C4E80" w:rsidP="004C4E80">
            <w:pPr>
              <w:spacing w:after="200" w:line="276" w:lineRule="auto"/>
              <w:rPr>
                <w:sz w:val="18"/>
                <w:szCs w:val="18"/>
                <w:lang w:val="en-US"/>
              </w:rPr>
            </w:pPr>
            <w:r w:rsidRPr="000D0DA8">
              <w:rPr>
                <w:b/>
                <w:bCs/>
                <w:sz w:val="18"/>
                <w:szCs w:val="18"/>
              </w:rPr>
              <w:t>Auteurs</w:t>
            </w:r>
          </w:p>
        </w:tc>
        <w:tc>
          <w:tcPr>
            <w:tcW w:w="1135" w:type="dxa"/>
          </w:tcPr>
          <w:p w:rsidR="004C4E80" w:rsidRPr="000D0DA8" w:rsidRDefault="004C4E80" w:rsidP="004C4E80">
            <w:pPr>
              <w:spacing w:after="200" w:line="276" w:lineRule="auto"/>
              <w:rPr>
                <w:sz w:val="18"/>
                <w:szCs w:val="18"/>
                <w:lang w:val="en-US"/>
              </w:rPr>
            </w:pPr>
            <w:r w:rsidRPr="000D0DA8">
              <w:rPr>
                <w:b/>
                <w:bCs/>
                <w:sz w:val="18"/>
                <w:szCs w:val="18"/>
              </w:rPr>
              <w:t>Médicament anticonvulsivant</w:t>
            </w:r>
          </w:p>
        </w:tc>
        <w:tc>
          <w:tcPr>
            <w:tcW w:w="850" w:type="dxa"/>
          </w:tcPr>
          <w:p w:rsidR="004C4E80" w:rsidRPr="000D0DA8" w:rsidRDefault="004C4E80" w:rsidP="004C4E80">
            <w:pPr>
              <w:spacing w:after="200" w:line="276" w:lineRule="auto"/>
              <w:rPr>
                <w:sz w:val="18"/>
                <w:szCs w:val="18"/>
                <w:lang w:val="en-US"/>
              </w:rPr>
            </w:pPr>
            <w:r w:rsidRPr="000D0DA8">
              <w:rPr>
                <w:b/>
                <w:bCs/>
                <w:sz w:val="18"/>
                <w:szCs w:val="18"/>
              </w:rPr>
              <w:t>Type d'essai</w:t>
            </w:r>
          </w:p>
        </w:tc>
        <w:tc>
          <w:tcPr>
            <w:tcW w:w="709" w:type="dxa"/>
          </w:tcPr>
          <w:p w:rsidR="004C4E80" w:rsidRPr="000D0DA8" w:rsidRDefault="004C4E80" w:rsidP="004C4E80">
            <w:pPr>
              <w:spacing w:after="200" w:line="276" w:lineRule="auto"/>
              <w:rPr>
                <w:sz w:val="18"/>
                <w:szCs w:val="18"/>
                <w:lang w:val="en-US"/>
              </w:rPr>
            </w:pPr>
            <w:r w:rsidRPr="000D0DA8">
              <w:rPr>
                <w:b/>
                <w:bCs/>
                <w:sz w:val="18"/>
                <w:szCs w:val="18"/>
              </w:rPr>
              <w:t>Durée de l'essai</w:t>
            </w:r>
          </w:p>
        </w:tc>
        <w:tc>
          <w:tcPr>
            <w:tcW w:w="709" w:type="dxa"/>
          </w:tcPr>
          <w:p w:rsidR="004C4E80" w:rsidRPr="000D0DA8" w:rsidRDefault="004C4E80" w:rsidP="004C4E80">
            <w:pPr>
              <w:spacing w:after="200" w:line="276" w:lineRule="auto"/>
              <w:rPr>
                <w:sz w:val="18"/>
                <w:szCs w:val="18"/>
                <w:lang w:val="en-US"/>
              </w:rPr>
            </w:pPr>
            <w:r w:rsidRPr="000D0DA8">
              <w:rPr>
                <w:b/>
                <w:bCs/>
                <w:sz w:val="18"/>
                <w:szCs w:val="18"/>
              </w:rPr>
              <w:t>Nombre de patients PD</w:t>
            </w:r>
          </w:p>
        </w:tc>
        <w:tc>
          <w:tcPr>
            <w:tcW w:w="850" w:type="dxa"/>
          </w:tcPr>
          <w:p w:rsidR="004C4E80" w:rsidRPr="000D0DA8" w:rsidRDefault="004C4E80" w:rsidP="004C4E80">
            <w:pPr>
              <w:spacing w:after="200" w:line="276" w:lineRule="auto"/>
              <w:rPr>
                <w:sz w:val="18"/>
                <w:szCs w:val="18"/>
                <w:lang w:val="en-US"/>
              </w:rPr>
            </w:pPr>
            <w:r w:rsidRPr="000D0DA8">
              <w:rPr>
                <w:b/>
                <w:bCs/>
                <w:sz w:val="18"/>
                <w:szCs w:val="18"/>
              </w:rPr>
              <w:t>Dosage</w:t>
            </w:r>
          </w:p>
        </w:tc>
        <w:tc>
          <w:tcPr>
            <w:tcW w:w="2835" w:type="dxa"/>
          </w:tcPr>
          <w:p w:rsidR="004C4E80" w:rsidRPr="000D0DA8" w:rsidRDefault="004C4E80" w:rsidP="004C4E80">
            <w:pPr>
              <w:spacing w:after="200" w:line="276" w:lineRule="auto"/>
              <w:rPr>
                <w:sz w:val="18"/>
                <w:szCs w:val="18"/>
                <w:lang w:val="en-US"/>
              </w:rPr>
            </w:pPr>
            <w:r w:rsidRPr="000D0DA8">
              <w:rPr>
                <w:b/>
                <w:bCs/>
                <w:sz w:val="18"/>
                <w:szCs w:val="18"/>
              </w:rPr>
              <w:t>Résultat</w:t>
            </w:r>
          </w:p>
        </w:tc>
        <w:tc>
          <w:tcPr>
            <w:tcW w:w="3403" w:type="dxa"/>
          </w:tcPr>
          <w:p w:rsidR="004C4E80" w:rsidRPr="000D0DA8" w:rsidRDefault="004C4E80" w:rsidP="004C4E80">
            <w:pPr>
              <w:spacing w:after="200" w:line="276" w:lineRule="auto"/>
              <w:rPr>
                <w:sz w:val="18"/>
                <w:szCs w:val="18"/>
                <w:lang w:val="en-US"/>
              </w:rPr>
            </w:pPr>
            <w:r w:rsidRPr="000D0DA8">
              <w:rPr>
                <w:b/>
                <w:bCs/>
                <w:sz w:val="18"/>
                <w:szCs w:val="18"/>
              </w:rPr>
              <w:t>Commentaires</w:t>
            </w:r>
          </w:p>
        </w:tc>
      </w:tr>
      <w:tr w:rsidR="004C4E80" w:rsidTr="0061014E">
        <w:tc>
          <w:tcPr>
            <w:tcW w:w="850" w:type="dxa"/>
          </w:tcPr>
          <w:p w:rsidR="004C4E80" w:rsidRPr="000D0DA8" w:rsidRDefault="004C4E80" w:rsidP="004C4E80">
            <w:pPr>
              <w:spacing w:after="200" w:line="276" w:lineRule="auto"/>
              <w:rPr>
                <w:sz w:val="18"/>
                <w:szCs w:val="18"/>
              </w:rPr>
            </w:pPr>
            <w:r w:rsidRPr="000D0DA8">
              <w:rPr>
                <w:sz w:val="18"/>
                <w:szCs w:val="18"/>
              </w:rPr>
              <w:t xml:space="preserve">Uhde </w:t>
            </w:r>
            <w:r w:rsidRPr="000D0DA8">
              <w:rPr>
                <w:i/>
                <w:iCs/>
                <w:sz w:val="18"/>
                <w:szCs w:val="18"/>
              </w:rPr>
              <w:t>et al.</w:t>
            </w:r>
          </w:p>
        </w:tc>
        <w:tc>
          <w:tcPr>
            <w:tcW w:w="1135" w:type="dxa"/>
          </w:tcPr>
          <w:p w:rsidR="004C4E80" w:rsidRPr="000D0DA8" w:rsidRDefault="004C4E80" w:rsidP="004C4E80">
            <w:pPr>
              <w:spacing w:after="200" w:line="276" w:lineRule="auto"/>
              <w:rPr>
                <w:sz w:val="18"/>
                <w:szCs w:val="18"/>
              </w:rPr>
            </w:pPr>
            <w:r w:rsidRPr="000D0DA8">
              <w:rPr>
                <w:sz w:val="18"/>
                <w:szCs w:val="18"/>
              </w:rPr>
              <w:t>Carbamazepine</w:t>
            </w:r>
          </w:p>
        </w:tc>
        <w:tc>
          <w:tcPr>
            <w:tcW w:w="850" w:type="dxa"/>
          </w:tcPr>
          <w:p w:rsidR="004C4E80" w:rsidRPr="000D0DA8" w:rsidRDefault="004C4E80" w:rsidP="004C4E80">
            <w:pPr>
              <w:spacing w:after="200" w:line="276" w:lineRule="auto"/>
              <w:rPr>
                <w:sz w:val="18"/>
                <w:szCs w:val="18"/>
              </w:rPr>
            </w:pPr>
            <w:r w:rsidRPr="000D0DA8">
              <w:rPr>
                <w:sz w:val="18"/>
                <w:szCs w:val="18"/>
              </w:rPr>
              <w:t>Etude contrôlée</w:t>
            </w:r>
          </w:p>
        </w:tc>
        <w:tc>
          <w:tcPr>
            <w:tcW w:w="709" w:type="dxa"/>
          </w:tcPr>
          <w:p w:rsidR="004C4E80" w:rsidRPr="000D0DA8" w:rsidRDefault="004C4E80" w:rsidP="004C4E80">
            <w:pPr>
              <w:spacing w:after="200" w:line="276" w:lineRule="auto"/>
              <w:rPr>
                <w:sz w:val="18"/>
                <w:szCs w:val="18"/>
              </w:rPr>
            </w:pPr>
            <w:r w:rsidRPr="000D0DA8">
              <w:rPr>
                <w:sz w:val="18"/>
                <w:szCs w:val="18"/>
                <w:lang w:val="en-US"/>
              </w:rPr>
              <w:t>Moyenne = 66 jours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14</w:t>
            </w:r>
          </w:p>
          <w:p w:rsidR="004C4E80" w:rsidRPr="000D0DA8" w:rsidRDefault="004C4E80" w:rsidP="004C4E80">
            <w:pPr>
              <w:spacing w:after="200" w:line="276" w:lineRule="auto"/>
              <w:rPr>
                <w:sz w:val="18"/>
                <w:szCs w:val="18"/>
                <w:lang w:val="en-US"/>
              </w:rPr>
            </w:pPr>
          </w:p>
        </w:tc>
        <w:tc>
          <w:tcPr>
            <w:tcW w:w="850" w:type="dxa"/>
          </w:tcPr>
          <w:p w:rsidR="004C4E80" w:rsidRPr="000D0DA8" w:rsidRDefault="004C4E80" w:rsidP="004C4E80">
            <w:pPr>
              <w:spacing w:after="200" w:line="276" w:lineRule="auto"/>
              <w:rPr>
                <w:sz w:val="18"/>
                <w:szCs w:val="18"/>
                <w:lang w:val="en-US"/>
              </w:rPr>
            </w:pPr>
            <w:r w:rsidRPr="000D0DA8">
              <w:rPr>
                <w:sz w:val="18"/>
                <w:szCs w:val="18"/>
                <w:lang w:val="en-US"/>
              </w:rPr>
              <w:t>Dose moyenne = 679 mg/jour</w:t>
            </w:r>
          </w:p>
        </w:tc>
        <w:tc>
          <w:tcPr>
            <w:tcW w:w="2835" w:type="dxa"/>
          </w:tcPr>
          <w:p w:rsidR="004C4E80" w:rsidRPr="000D0DA8" w:rsidRDefault="004C4E80" w:rsidP="004C4E80">
            <w:pPr>
              <w:spacing w:after="200" w:line="276" w:lineRule="auto"/>
              <w:rPr>
                <w:sz w:val="18"/>
                <w:szCs w:val="18"/>
              </w:rPr>
            </w:pPr>
            <w:r w:rsidRPr="000D0DA8">
              <w:rPr>
                <w:sz w:val="18"/>
                <w:szCs w:val="18"/>
              </w:rPr>
              <w:t>Amélioration dans plusieurs mesures, mais seul un patient a démontré une amélioration marquée et durable.</w:t>
            </w:r>
          </w:p>
        </w:tc>
        <w:tc>
          <w:tcPr>
            <w:tcW w:w="3403" w:type="dxa"/>
          </w:tcPr>
          <w:p w:rsidR="004C4E80" w:rsidRPr="000D0DA8" w:rsidRDefault="004C4E80" w:rsidP="004C4E80">
            <w:pPr>
              <w:spacing w:after="200" w:line="276" w:lineRule="auto"/>
              <w:rPr>
                <w:sz w:val="18"/>
                <w:szCs w:val="18"/>
              </w:rPr>
            </w:pPr>
            <w:r w:rsidRPr="000D0DA8">
              <w:rPr>
                <w:sz w:val="18"/>
                <w:szCs w:val="18"/>
              </w:rPr>
              <w:t>Les anomalies de l'EEG et les symptômes psychosensoriels importants n'ont pas permis de prédire la réponse.</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Tondo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Carbamazepine</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52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34</w:t>
            </w:r>
          </w:p>
        </w:tc>
        <w:tc>
          <w:tcPr>
            <w:tcW w:w="850" w:type="dxa"/>
          </w:tcPr>
          <w:p w:rsidR="004C4E80" w:rsidRPr="000D0DA8" w:rsidRDefault="004C4E80" w:rsidP="004C4E80">
            <w:pPr>
              <w:spacing w:after="200" w:line="276" w:lineRule="auto"/>
              <w:rPr>
                <w:sz w:val="18"/>
                <w:szCs w:val="18"/>
                <w:lang w:val="en-US"/>
              </w:rPr>
            </w:pPr>
            <w:r w:rsidRPr="000D0DA8">
              <w:rPr>
                <w:sz w:val="18"/>
                <w:szCs w:val="18"/>
              </w:rPr>
              <w:t>Dose moyenne = 419 mg/jour</w:t>
            </w:r>
          </w:p>
        </w:tc>
        <w:tc>
          <w:tcPr>
            <w:tcW w:w="2835" w:type="dxa"/>
          </w:tcPr>
          <w:p w:rsidR="004C4E80" w:rsidRPr="000D0DA8" w:rsidRDefault="004C4E80" w:rsidP="004C4E80">
            <w:pPr>
              <w:spacing w:after="200" w:line="276" w:lineRule="auto"/>
              <w:rPr>
                <w:sz w:val="18"/>
                <w:szCs w:val="18"/>
                <w:lang w:val="en-US"/>
              </w:rPr>
            </w:pPr>
            <w:r w:rsidRPr="000D0DA8">
              <w:rPr>
                <w:sz w:val="18"/>
                <w:szCs w:val="18"/>
              </w:rPr>
              <w:t>58% d'amélioration</w:t>
            </w:r>
          </w:p>
        </w:tc>
        <w:tc>
          <w:tcPr>
            <w:tcW w:w="3403" w:type="dxa"/>
          </w:tcPr>
          <w:p w:rsidR="004C4E80" w:rsidRPr="000D0DA8" w:rsidRDefault="004C4E80" w:rsidP="004C4E80">
            <w:pPr>
              <w:spacing w:after="200" w:line="276" w:lineRule="auto"/>
              <w:rPr>
                <w:sz w:val="18"/>
                <w:szCs w:val="18"/>
                <w:lang w:val="en-US"/>
              </w:rPr>
            </w:pP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Lum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Divalproex sodium</w:t>
            </w:r>
          </w:p>
        </w:tc>
        <w:tc>
          <w:tcPr>
            <w:tcW w:w="850" w:type="dxa"/>
          </w:tcPr>
          <w:p w:rsidR="004C4E80" w:rsidRPr="000D0DA8" w:rsidRDefault="004C4E80" w:rsidP="004C4E80">
            <w:pPr>
              <w:spacing w:after="200" w:line="276" w:lineRule="auto"/>
              <w:rPr>
                <w:sz w:val="18"/>
                <w:szCs w:val="18"/>
                <w:lang w:val="en-US"/>
              </w:rPr>
            </w:pPr>
            <w:r w:rsidRPr="000D0DA8">
              <w:rPr>
                <w:sz w:val="18"/>
                <w:szCs w:val="18"/>
              </w:rPr>
              <w:t>Contrôlé par placebo</w:t>
            </w:r>
          </w:p>
        </w:tc>
        <w:tc>
          <w:tcPr>
            <w:tcW w:w="709" w:type="dxa"/>
          </w:tcPr>
          <w:p w:rsidR="004C4E80" w:rsidRPr="000D0DA8" w:rsidRDefault="004C4E80" w:rsidP="004C4E80">
            <w:pPr>
              <w:spacing w:after="200" w:line="276" w:lineRule="auto"/>
              <w:rPr>
                <w:sz w:val="18"/>
                <w:szCs w:val="18"/>
                <w:lang w:val="en-US"/>
              </w:rPr>
            </w:pPr>
            <w:r w:rsidRPr="000D0DA8">
              <w:rPr>
                <w:sz w:val="18"/>
                <w:szCs w:val="18"/>
              </w:rPr>
              <w:t>6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12</w:t>
            </w:r>
          </w:p>
        </w:tc>
        <w:tc>
          <w:tcPr>
            <w:tcW w:w="850" w:type="dxa"/>
          </w:tcPr>
          <w:p w:rsidR="004C4E80" w:rsidRPr="000D0DA8" w:rsidRDefault="004C4E80" w:rsidP="004C4E80">
            <w:pPr>
              <w:spacing w:after="200" w:line="276" w:lineRule="auto"/>
              <w:rPr>
                <w:sz w:val="18"/>
                <w:szCs w:val="18"/>
              </w:rPr>
            </w:pPr>
            <w:r w:rsidRPr="000D0DA8">
              <w:rPr>
                <w:sz w:val="18"/>
                <w:szCs w:val="18"/>
              </w:rPr>
              <w:t>Adaptation de la posologie en fonction de la réponse et des effets secondaires.</w:t>
            </w:r>
          </w:p>
        </w:tc>
        <w:tc>
          <w:tcPr>
            <w:tcW w:w="2835" w:type="dxa"/>
          </w:tcPr>
          <w:p w:rsidR="004C4E80" w:rsidRPr="000D0DA8" w:rsidRDefault="004C4E80" w:rsidP="004C4E80">
            <w:pPr>
              <w:spacing w:after="200" w:line="276" w:lineRule="auto"/>
              <w:rPr>
                <w:sz w:val="18"/>
                <w:szCs w:val="18"/>
              </w:rPr>
            </w:pPr>
            <w:r w:rsidRPr="000D0DA8">
              <w:rPr>
                <w:sz w:val="18"/>
                <w:szCs w:val="18"/>
              </w:rPr>
              <w:t>Réduction significative de l'intensité et de la durée des attaques de panique.</w:t>
            </w:r>
          </w:p>
        </w:tc>
        <w:tc>
          <w:tcPr>
            <w:tcW w:w="3403" w:type="dxa"/>
          </w:tcPr>
          <w:p w:rsidR="004C4E80" w:rsidRPr="000D0DA8" w:rsidRDefault="004C4E80" w:rsidP="004C4E80">
            <w:pPr>
              <w:spacing w:after="200" w:line="276" w:lineRule="auto"/>
              <w:rPr>
                <w:sz w:val="18"/>
                <w:szCs w:val="18"/>
              </w:rPr>
            </w:pPr>
            <w:r w:rsidRPr="000D0DA8">
              <w:rPr>
                <w:sz w:val="18"/>
                <w:szCs w:val="18"/>
              </w:rPr>
              <w:t>Mais les améliorations n'étaient évidentes que lorsque le divalproex de sodium était administré comme premier médicament.</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Woodman and Noyes</w:t>
            </w:r>
          </w:p>
        </w:tc>
        <w:tc>
          <w:tcPr>
            <w:tcW w:w="1135" w:type="dxa"/>
          </w:tcPr>
          <w:p w:rsidR="004C4E80" w:rsidRPr="000D0DA8" w:rsidRDefault="004C4E80" w:rsidP="000D0DA8">
            <w:pPr>
              <w:spacing w:after="200" w:line="276" w:lineRule="auto"/>
              <w:rPr>
                <w:sz w:val="18"/>
                <w:szCs w:val="18"/>
                <w:lang w:val="en-US"/>
              </w:rPr>
            </w:pPr>
            <w:r w:rsidRPr="000D0DA8">
              <w:rPr>
                <w:sz w:val="18"/>
                <w:szCs w:val="18"/>
              </w:rPr>
              <w:t>Divalproex</w:t>
            </w:r>
            <w:r w:rsidR="000D0DA8" w:rsidRPr="000D0DA8">
              <w:rPr>
                <w:sz w:val="18"/>
                <w:szCs w:val="18"/>
              </w:rPr>
              <w:t xml:space="preserve"> </w:t>
            </w:r>
            <w:r w:rsidRPr="000D0DA8">
              <w:rPr>
                <w:sz w:val="18"/>
                <w:szCs w:val="18"/>
              </w:rPr>
              <w:t>sodium</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6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12</w:t>
            </w:r>
          </w:p>
        </w:tc>
        <w:tc>
          <w:tcPr>
            <w:tcW w:w="850" w:type="dxa"/>
          </w:tcPr>
          <w:p w:rsidR="004C4E80" w:rsidRPr="000D0DA8" w:rsidRDefault="004C4E80" w:rsidP="004C4E80">
            <w:pPr>
              <w:spacing w:after="200" w:line="276" w:lineRule="auto"/>
              <w:rPr>
                <w:sz w:val="18"/>
                <w:szCs w:val="18"/>
              </w:rPr>
            </w:pPr>
            <w:r w:rsidRPr="000D0DA8">
              <w:rPr>
                <w:sz w:val="18"/>
                <w:szCs w:val="18"/>
              </w:rPr>
              <w:t>Dose initiale = 500 mg/jour ; augmentation en fonction de la réponse réponse/effets secondaires.</w:t>
            </w:r>
          </w:p>
        </w:tc>
        <w:tc>
          <w:tcPr>
            <w:tcW w:w="2835" w:type="dxa"/>
          </w:tcPr>
          <w:p w:rsidR="004C4E80" w:rsidRPr="000D0DA8" w:rsidRDefault="004C4E80" w:rsidP="004C4E80">
            <w:pPr>
              <w:spacing w:after="200" w:line="276" w:lineRule="auto"/>
              <w:rPr>
                <w:sz w:val="18"/>
                <w:szCs w:val="18"/>
              </w:rPr>
            </w:pPr>
            <w:r w:rsidRPr="000D0DA8">
              <w:rPr>
                <w:sz w:val="18"/>
                <w:szCs w:val="18"/>
              </w:rPr>
              <w:t>Tous les patients ont terminé l'essai ; tous ont connu une amélioration modérée à marquée.</w:t>
            </w:r>
          </w:p>
        </w:tc>
        <w:tc>
          <w:tcPr>
            <w:tcW w:w="3403" w:type="dxa"/>
          </w:tcPr>
          <w:p w:rsidR="004C4E80" w:rsidRPr="000D0DA8" w:rsidRDefault="004C4E80" w:rsidP="004C4E80">
            <w:pPr>
              <w:spacing w:after="200" w:line="276" w:lineRule="auto"/>
              <w:rPr>
                <w:sz w:val="18"/>
                <w:szCs w:val="18"/>
              </w:rPr>
            </w:pPr>
            <w:r w:rsidRPr="000D0DA8">
              <w:rPr>
                <w:sz w:val="18"/>
                <w:szCs w:val="18"/>
              </w:rPr>
              <w:t>11 patients ont poursuivi le traitement par divalproex et ont conservé des gains thérapeutiques lors du suivi à 6 mois.</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Baetz and Bowen</w:t>
            </w:r>
          </w:p>
        </w:tc>
        <w:tc>
          <w:tcPr>
            <w:tcW w:w="1135" w:type="dxa"/>
          </w:tcPr>
          <w:p w:rsidR="004C4E80" w:rsidRPr="000D0DA8" w:rsidRDefault="004C4E80" w:rsidP="000D0DA8">
            <w:pPr>
              <w:spacing w:after="200" w:line="276" w:lineRule="auto"/>
              <w:rPr>
                <w:sz w:val="18"/>
                <w:szCs w:val="18"/>
                <w:lang w:val="en-US"/>
              </w:rPr>
            </w:pPr>
            <w:r w:rsidRPr="000D0DA8">
              <w:rPr>
                <w:sz w:val="18"/>
                <w:szCs w:val="18"/>
              </w:rPr>
              <w:t>Divalproex</w:t>
            </w:r>
            <w:r w:rsidR="000D0DA8" w:rsidRPr="000D0DA8">
              <w:rPr>
                <w:sz w:val="18"/>
                <w:szCs w:val="18"/>
              </w:rPr>
              <w:t xml:space="preserve"> </w:t>
            </w:r>
            <w:r w:rsidRPr="000D0DA8">
              <w:rPr>
                <w:sz w:val="18"/>
                <w:szCs w:val="18"/>
              </w:rPr>
              <w:t>sodium</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8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10</w:t>
            </w:r>
          </w:p>
        </w:tc>
        <w:tc>
          <w:tcPr>
            <w:tcW w:w="850" w:type="dxa"/>
          </w:tcPr>
          <w:p w:rsidR="004C4E80" w:rsidRPr="000D0DA8" w:rsidRDefault="004C4E80" w:rsidP="004C4E80">
            <w:pPr>
              <w:spacing w:after="200" w:line="276" w:lineRule="auto"/>
              <w:rPr>
                <w:sz w:val="18"/>
                <w:szCs w:val="18"/>
              </w:rPr>
            </w:pPr>
            <w:r w:rsidRPr="000D0DA8">
              <w:rPr>
                <w:sz w:val="18"/>
                <w:szCs w:val="18"/>
              </w:rPr>
              <w:t xml:space="preserve">Dose flexible pour atteindre des taux sériques = 45-90 </w:t>
            </w:r>
            <w:r w:rsidRPr="000D0DA8">
              <w:rPr>
                <w:sz w:val="18"/>
                <w:szCs w:val="18"/>
                <w:lang w:val="en-US"/>
              </w:rPr>
              <w:t>μ</w:t>
            </w:r>
            <w:r w:rsidRPr="000D0DA8">
              <w:rPr>
                <w:sz w:val="18"/>
                <w:szCs w:val="18"/>
              </w:rPr>
              <w:t>g/ml.</w:t>
            </w:r>
          </w:p>
        </w:tc>
        <w:tc>
          <w:tcPr>
            <w:tcW w:w="2835" w:type="dxa"/>
          </w:tcPr>
          <w:p w:rsidR="004C4E80" w:rsidRPr="000D0DA8" w:rsidRDefault="004C4E80" w:rsidP="004C4E80">
            <w:pPr>
              <w:spacing w:after="200" w:line="276" w:lineRule="auto"/>
              <w:rPr>
                <w:sz w:val="18"/>
                <w:szCs w:val="18"/>
              </w:rPr>
            </w:pPr>
            <w:r w:rsidRPr="000D0DA8">
              <w:rPr>
                <w:sz w:val="18"/>
                <w:szCs w:val="18"/>
              </w:rPr>
              <w:t>Tous les patients se sont améliorés de manière significative en ce qui concerne la fréquence des attaques de panique, l'instabilité de l'humeur et les symptômes dépressifs et anxieux.</w:t>
            </w:r>
          </w:p>
        </w:tc>
        <w:tc>
          <w:tcPr>
            <w:tcW w:w="3403" w:type="dxa"/>
          </w:tcPr>
          <w:p w:rsidR="004C4E80" w:rsidRPr="000D0DA8" w:rsidRDefault="004C4E80" w:rsidP="004C4E80">
            <w:pPr>
              <w:spacing w:after="200" w:line="276" w:lineRule="auto"/>
              <w:rPr>
                <w:sz w:val="18"/>
                <w:szCs w:val="18"/>
              </w:rPr>
            </w:pPr>
            <w:r w:rsidRPr="000D0DA8">
              <w:rPr>
                <w:sz w:val="18"/>
                <w:szCs w:val="18"/>
              </w:rPr>
              <w:t>----</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lastRenderedPageBreak/>
              <w:t xml:space="preserve">Pande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Gabapentin</w:t>
            </w:r>
          </w:p>
        </w:tc>
        <w:tc>
          <w:tcPr>
            <w:tcW w:w="850" w:type="dxa"/>
          </w:tcPr>
          <w:p w:rsidR="004C4E80" w:rsidRPr="000D0DA8" w:rsidRDefault="004C4E80" w:rsidP="004C4E80">
            <w:pPr>
              <w:spacing w:after="200" w:line="276" w:lineRule="auto"/>
              <w:rPr>
                <w:sz w:val="18"/>
                <w:szCs w:val="18"/>
              </w:rPr>
            </w:pPr>
            <w:r w:rsidRPr="000D0DA8">
              <w:rPr>
                <w:sz w:val="18"/>
                <w:szCs w:val="18"/>
              </w:rPr>
              <w:t>En double aveugle.</w:t>
            </w:r>
          </w:p>
          <w:p w:rsidR="004C4E80" w:rsidRPr="000D0DA8" w:rsidRDefault="004C4E80" w:rsidP="004C4E80">
            <w:pPr>
              <w:spacing w:after="200" w:line="276" w:lineRule="auto"/>
              <w:rPr>
                <w:sz w:val="18"/>
                <w:szCs w:val="18"/>
              </w:rPr>
            </w:pPr>
            <w:r w:rsidRPr="000D0DA8">
              <w:rPr>
                <w:sz w:val="18"/>
                <w:szCs w:val="18"/>
              </w:rPr>
              <w:t>contrôlé par placebo</w:t>
            </w:r>
          </w:p>
        </w:tc>
        <w:tc>
          <w:tcPr>
            <w:tcW w:w="709" w:type="dxa"/>
          </w:tcPr>
          <w:p w:rsidR="004C4E80" w:rsidRPr="000D0DA8" w:rsidRDefault="004C4E80" w:rsidP="004C4E80">
            <w:pPr>
              <w:spacing w:after="200" w:line="276" w:lineRule="auto"/>
              <w:rPr>
                <w:sz w:val="18"/>
                <w:szCs w:val="18"/>
                <w:lang w:val="en-US"/>
              </w:rPr>
            </w:pPr>
            <w:r w:rsidRPr="000D0DA8">
              <w:rPr>
                <w:sz w:val="18"/>
                <w:szCs w:val="18"/>
              </w:rPr>
              <w:t>8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133</w:t>
            </w:r>
          </w:p>
        </w:tc>
        <w:tc>
          <w:tcPr>
            <w:tcW w:w="850" w:type="dxa"/>
          </w:tcPr>
          <w:p w:rsidR="004C4E80" w:rsidRPr="000D0DA8" w:rsidRDefault="004C4E80" w:rsidP="004C4E80">
            <w:pPr>
              <w:spacing w:after="200" w:line="276" w:lineRule="auto"/>
              <w:rPr>
                <w:sz w:val="18"/>
                <w:szCs w:val="18"/>
                <w:lang w:val="en-US"/>
              </w:rPr>
            </w:pPr>
            <w:r w:rsidRPr="000D0DA8">
              <w:rPr>
                <w:sz w:val="18"/>
                <w:szCs w:val="18"/>
              </w:rPr>
              <w:t>600-3600 mg/jour</w:t>
            </w:r>
          </w:p>
        </w:tc>
        <w:tc>
          <w:tcPr>
            <w:tcW w:w="2835" w:type="dxa"/>
          </w:tcPr>
          <w:p w:rsidR="004C4E80" w:rsidRPr="000D0DA8" w:rsidRDefault="004C4E80" w:rsidP="004C4E80">
            <w:pPr>
              <w:spacing w:after="200" w:line="276" w:lineRule="auto"/>
              <w:rPr>
                <w:sz w:val="18"/>
                <w:szCs w:val="18"/>
              </w:rPr>
            </w:pPr>
            <w:r w:rsidRPr="000D0DA8">
              <w:rPr>
                <w:sz w:val="18"/>
                <w:szCs w:val="18"/>
              </w:rPr>
              <w:t>Dans l'ensemble, le traitement actif n'était pas meilleur que le placebo, mais il ne l'était que pour les cas les plus graves.</w:t>
            </w:r>
          </w:p>
        </w:tc>
        <w:tc>
          <w:tcPr>
            <w:tcW w:w="3403" w:type="dxa"/>
          </w:tcPr>
          <w:p w:rsidR="004C4E80" w:rsidRPr="000D0DA8" w:rsidRDefault="004C4E80" w:rsidP="004C4E80">
            <w:pPr>
              <w:spacing w:after="200" w:line="276" w:lineRule="auto"/>
              <w:rPr>
                <w:sz w:val="18"/>
                <w:szCs w:val="18"/>
              </w:rPr>
            </w:pPr>
            <w:r w:rsidRPr="000D0DA8">
              <w:rPr>
                <w:sz w:val="18"/>
                <w:szCs w:val="18"/>
              </w:rPr>
              <w:t>Essai de gabapentine en monothérapie.</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Joos and Zeeck</w:t>
            </w:r>
          </w:p>
        </w:tc>
        <w:tc>
          <w:tcPr>
            <w:tcW w:w="1135" w:type="dxa"/>
          </w:tcPr>
          <w:p w:rsidR="004C4E80" w:rsidRPr="000D0DA8" w:rsidRDefault="004C4E80" w:rsidP="004C4E80">
            <w:pPr>
              <w:spacing w:after="200" w:line="276" w:lineRule="auto"/>
              <w:rPr>
                <w:sz w:val="18"/>
                <w:szCs w:val="18"/>
                <w:lang w:val="en-US"/>
              </w:rPr>
            </w:pPr>
            <w:r w:rsidRPr="000D0DA8">
              <w:rPr>
                <w:sz w:val="18"/>
                <w:szCs w:val="18"/>
              </w:rPr>
              <w:t>Gabapentin</w:t>
            </w:r>
          </w:p>
        </w:tc>
        <w:tc>
          <w:tcPr>
            <w:tcW w:w="850" w:type="dxa"/>
          </w:tcPr>
          <w:p w:rsidR="004C4E80" w:rsidRPr="000D0DA8" w:rsidRDefault="004C4E80" w:rsidP="004C4E80">
            <w:pPr>
              <w:spacing w:after="200" w:line="276" w:lineRule="auto"/>
              <w:rPr>
                <w:sz w:val="18"/>
                <w:szCs w:val="18"/>
                <w:lang w:val="en-US"/>
              </w:rPr>
            </w:pPr>
            <w:r w:rsidRPr="000D0DA8">
              <w:rPr>
                <w:sz w:val="18"/>
                <w:szCs w:val="18"/>
              </w:rPr>
              <w:t>Rapport de cas</w:t>
            </w:r>
          </w:p>
        </w:tc>
        <w:tc>
          <w:tcPr>
            <w:tcW w:w="709" w:type="dxa"/>
          </w:tcPr>
          <w:p w:rsidR="004C4E80" w:rsidRPr="000D0DA8" w:rsidRDefault="004C4E80" w:rsidP="004C4E80">
            <w:pPr>
              <w:spacing w:after="200" w:line="276" w:lineRule="auto"/>
              <w:rPr>
                <w:sz w:val="18"/>
                <w:szCs w:val="18"/>
                <w:lang w:val="en-US"/>
              </w:rPr>
            </w:pPr>
            <w:r w:rsidRPr="000D0DA8">
              <w:rPr>
                <w:sz w:val="18"/>
                <w:szCs w:val="18"/>
              </w:rPr>
              <w:t>7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w:t>
            </w:r>
          </w:p>
        </w:tc>
        <w:tc>
          <w:tcPr>
            <w:tcW w:w="850" w:type="dxa"/>
          </w:tcPr>
          <w:p w:rsidR="004C4E80" w:rsidRPr="000D0DA8" w:rsidRDefault="004C4E80" w:rsidP="004C4E80">
            <w:pPr>
              <w:spacing w:after="200" w:line="276" w:lineRule="auto"/>
              <w:rPr>
                <w:sz w:val="18"/>
                <w:szCs w:val="18"/>
                <w:lang w:val="en-US"/>
              </w:rPr>
            </w:pPr>
            <w:r w:rsidRPr="000D0DA8">
              <w:rPr>
                <w:sz w:val="18"/>
                <w:szCs w:val="18"/>
              </w:rPr>
              <w:t>1800 mg/jour</w:t>
            </w:r>
          </w:p>
        </w:tc>
        <w:tc>
          <w:tcPr>
            <w:tcW w:w="2835" w:type="dxa"/>
          </w:tcPr>
          <w:p w:rsidR="004C4E80" w:rsidRPr="000D0DA8" w:rsidRDefault="004C4E80" w:rsidP="004C4E80">
            <w:pPr>
              <w:spacing w:after="200" w:line="276" w:lineRule="auto"/>
              <w:rPr>
                <w:sz w:val="18"/>
                <w:szCs w:val="18"/>
              </w:rPr>
            </w:pPr>
            <w:r w:rsidRPr="000D0DA8">
              <w:rPr>
                <w:sz w:val="18"/>
                <w:szCs w:val="18"/>
              </w:rPr>
              <w:t>Réduction des symptômes du PDA dès la prise de 1200 mg/jour.</w:t>
            </w:r>
          </w:p>
        </w:tc>
        <w:tc>
          <w:tcPr>
            <w:tcW w:w="3403" w:type="dxa"/>
          </w:tcPr>
          <w:p w:rsidR="004C4E80" w:rsidRPr="000D0DA8" w:rsidRDefault="004C4E80" w:rsidP="004C4E80">
            <w:pPr>
              <w:spacing w:after="200" w:line="276" w:lineRule="auto"/>
              <w:rPr>
                <w:sz w:val="18"/>
                <w:szCs w:val="18"/>
              </w:rPr>
            </w:pPr>
            <w:r w:rsidRPr="000D0DA8">
              <w:rPr>
                <w:sz w:val="18"/>
                <w:szCs w:val="18"/>
              </w:rPr>
              <w:t>Gabapentin en monothérapie  (administrée initialement pour la douleur fantôme) Titration : 3 premières semaines 1200 mg/jour, puis augmentation à 1800 mg/jour en raison de la persistance de la douleur.</w:t>
            </w:r>
          </w:p>
        </w:tc>
      </w:tr>
      <w:tr w:rsidR="004C4E80" w:rsidTr="0061014E">
        <w:tc>
          <w:tcPr>
            <w:tcW w:w="850" w:type="dxa"/>
          </w:tcPr>
          <w:p w:rsidR="004C4E80" w:rsidRPr="000D0DA8" w:rsidRDefault="004C4E80" w:rsidP="004C4E80">
            <w:pPr>
              <w:spacing w:after="200" w:line="276" w:lineRule="auto"/>
              <w:rPr>
                <w:sz w:val="18"/>
                <w:szCs w:val="18"/>
              </w:rPr>
            </w:pPr>
            <w:r w:rsidRPr="000D0DA8">
              <w:rPr>
                <w:sz w:val="18"/>
                <w:szCs w:val="18"/>
              </w:rPr>
              <w:t xml:space="preserve">Masdrakis </w:t>
            </w:r>
            <w:r w:rsidRPr="000D0DA8">
              <w:rPr>
                <w:i/>
                <w:iCs/>
                <w:sz w:val="18"/>
                <w:szCs w:val="18"/>
              </w:rPr>
              <w:t>et al.</w:t>
            </w:r>
          </w:p>
        </w:tc>
        <w:tc>
          <w:tcPr>
            <w:tcW w:w="1135" w:type="dxa"/>
          </w:tcPr>
          <w:p w:rsidR="004C4E80" w:rsidRPr="000D0DA8" w:rsidRDefault="004C4E80" w:rsidP="004C4E80">
            <w:pPr>
              <w:spacing w:after="200" w:line="276" w:lineRule="auto"/>
              <w:rPr>
                <w:sz w:val="18"/>
                <w:szCs w:val="18"/>
              </w:rPr>
            </w:pPr>
            <w:r w:rsidRPr="000D0DA8">
              <w:rPr>
                <w:sz w:val="18"/>
                <w:szCs w:val="18"/>
              </w:rPr>
              <w:t>Lamotrigine</w:t>
            </w:r>
          </w:p>
        </w:tc>
        <w:tc>
          <w:tcPr>
            <w:tcW w:w="850" w:type="dxa"/>
          </w:tcPr>
          <w:p w:rsidR="004C4E80" w:rsidRPr="000D0DA8" w:rsidRDefault="004C4E80" w:rsidP="004C4E80">
            <w:pPr>
              <w:spacing w:after="200" w:line="276" w:lineRule="auto"/>
              <w:rPr>
                <w:sz w:val="18"/>
                <w:szCs w:val="18"/>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rPr>
            </w:pPr>
            <w:r w:rsidRPr="000D0DA8">
              <w:rPr>
                <w:sz w:val="18"/>
                <w:szCs w:val="18"/>
              </w:rPr>
              <w:t>14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4</w:t>
            </w:r>
          </w:p>
        </w:tc>
        <w:tc>
          <w:tcPr>
            <w:tcW w:w="850" w:type="dxa"/>
          </w:tcPr>
          <w:p w:rsidR="004C4E80" w:rsidRPr="000D0DA8" w:rsidRDefault="004C4E80" w:rsidP="004C4E80">
            <w:pPr>
              <w:spacing w:after="200" w:line="276" w:lineRule="auto"/>
              <w:rPr>
                <w:sz w:val="18"/>
                <w:szCs w:val="18"/>
                <w:lang w:val="en-US"/>
              </w:rPr>
            </w:pPr>
            <w:r w:rsidRPr="000D0DA8">
              <w:rPr>
                <w:sz w:val="18"/>
                <w:szCs w:val="18"/>
              </w:rPr>
              <w:t>200 mg/jour</w:t>
            </w:r>
          </w:p>
        </w:tc>
        <w:tc>
          <w:tcPr>
            <w:tcW w:w="2835" w:type="dxa"/>
          </w:tcPr>
          <w:p w:rsidR="004C4E80" w:rsidRPr="000D0DA8" w:rsidRDefault="004C4E80" w:rsidP="004C4E80">
            <w:pPr>
              <w:spacing w:after="200" w:line="276" w:lineRule="auto"/>
              <w:rPr>
                <w:sz w:val="18"/>
                <w:szCs w:val="18"/>
              </w:rPr>
            </w:pPr>
            <w:r w:rsidRPr="000D0DA8">
              <w:rPr>
                <w:sz w:val="18"/>
                <w:szCs w:val="18"/>
              </w:rPr>
              <w:t>Amélioration significative d'un patient sous monothérapie ; une certaine amélioration chez 2 autres patients (agoraphobie chronique sévère).</w:t>
            </w:r>
          </w:p>
        </w:tc>
        <w:tc>
          <w:tcPr>
            <w:tcW w:w="3403" w:type="dxa"/>
          </w:tcPr>
          <w:p w:rsidR="0061014E" w:rsidRDefault="004C4E80" w:rsidP="0061014E">
            <w:pPr>
              <w:spacing w:after="200" w:line="276" w:lineRule="auto"/>
              <w:rPr>
                <w:sz w:val="18"/>
                <w:szCs w:val="18"/>
              </w:rPr>
            </w:pPr>
            <w:r w:rsidRPr="000D0DA8">
              <w:rPr>
                <w:sz w:val="18"/>
                <w:szCs w:val="18"/>
              </w:rPr>
              <w:t xml:space="preserve">Monothérapie = un patient ; thérapie d'augmentation = trois patients. </w:t>
            </w:r>
          </w:p>
          <w:p w:rsidR="004C4E80" w:rsidRPr="000D0DA8" w:rsidRDefault="004C4E80" w:rsidP="0061014E">
            <w:pPr>
              <w:spacing w:after="200" w:line="276" w:lineRule="auto"/>
              <w:rPr>
                <w:sz w:val="18"/>
                <w:szCs w:val="18"/>
              </w:rPr>
            </w:pPr>
            <w:r w:rsidRPr="000D0DA8">
              <w:rPr>
                <w:sz w:val="18"/>
                <w:szCs w:val="18"/>
              </w:rPr>
              <w:t xml:space="preserve">Titration : lentement pendant les 6 premières semaines. </w:t>
            </w:r>
          </w:p>
          <w:p w:rsidR="004C4E80" w:rsidRPr="000D0DA8" w:rsidRDefault="004C4E80" w:rsidP="004C4E80">
            <w:pPr>
              <w:spacing w:after="200" w:line="276" w:lineRule="auto"/>
              <w:rPr>
                <w:sz w:val="18"/>
                <w:szCs w:val="18"/>
                <w:lang w:val="en-US"/>
              </w:rPr>
            </w:pPr>
            <w:r w:rsidRPr="000D0DA8">
              <w:rPr>
                <w:sz w:val="18"/>
                <w:szCs w:val="18"/>
              </w:rPr>
              <w:t xml:space="preserve">Médicaments concomitants : paroxétine (trois patients), clomipramine (1) et alprazolam.2 Les doses de tous les médicaments sont restées stables </w:t>
            </w:r>
            <w:r w:rsidRPr="000D0DA8">
              <w:rPr>
                <w:rFonts w:ascii="Cambria Math" w:hAnsi="Cambria Math" w:cs="Cambria Math"/>
                <w:sz w:val="18"/>
                <w:szCs w:val="18"/>
                <w:lang w:val="en-US"/>
              </w:rPr>
              <w:t>⩾</w:t>
            </w:r>
            <w:r w:rsidRPr="000D0DA8">
              <w:rPr>
                <w:sz w:val="18"/>
                <w:szCs w:val="18"/>
              </w:rPr>
              <w:t xml:space="preserve">3 mois avant la prise et pendant l'essai. Des doses plus élevées pourraient être nécessaires dans les cas graves de DP/PDA. </w:t>
            </w:r>
            <w:r w:rsidRPr="000D0DA8">
              <w:rPr>
                <w:sz w:val="18"/>
                <w:szCs w:val="18"/>
                <w:lang w:val="en-US"/>
              </w:rPr>
              <w:t>Suivi méticuleux pour un éventuel syndrome de Stevens-Johnson.</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Papp</w:t>
            </w:r>
          </w:p>
        </w:tc>
        <w:tc>
          <w:tcPr>
            <w:tcW w:w="1135" w:type="dxa"/>
          </w:tcPr>
          <w:p w:rsidR="004C4E80" w:rsidRPr="000D0DA8" w:rsidRDefault="004C4E80" w:rsidP="004C4E80">
            <w:pPr>
              <w:spacing w:after="200" w:line="276" w:lineRule="auto"/>
              <w:rPr>
                <w:sz w:val="18"/>
                <w:szCs w:val="18"/>
                <w:lang w:val="en-US"/>
              </w:rPr>
            </w:pPr>
            <w:r w:rsidRPr="000D0DA8">
              <w:rPr>
                <w:sz w:val="18"/>
                <w:szCs w:val="18"/>
              </w:rPr>
              <w:t>Levetiracetam</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12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18</w:t>
            </w:r>
          </w:p>
        </w:tc>
        <w:tc>
          <w:tcPr>
            <w:tcW w:w="850" w:type="dxa"/>
          </w:tcPr>
          <w:p w:rsidR="004C4E80" w:rsidRPr="000D0DA8" w:rsidRDefault="004C4E80" w:rsidP="004C4E80">
            <w:pPr>
              <w:spacing w:after="200" w:line="276" w:lineRule="auto"/>
              <w:rPr>
                <w:sz w:val="18"/>
                <w:szCs w:val="18"/>
                <w:lang w:val="en-US"/>
              </w:rPr>
            </w:pPr>
            <w:r w:rsidRPr="000D0DA8">
              <w:rPr>
                <w:sz w:val="18"/>
                <w:szCs w:val="18"/>
              </w:rPr>
              <w:t>500 mg/jour</w:t>
            </w:r>
          </w:p>
        </w:tc>
        <w:tc>
          <w:tcPr>
            <w:tcW w:w="2835" w:type="dxa"/>
          </w:tcPr>
          <w:p w:rsidR="004C4E80" w:rsidRPr="000D0DA8" w:rsidRDefault="004C4E80" w:rsidP="004C4E80">
            <w:pPr>
              <w:spacing w:after="200" w:line="276" w:lineRule="auto"/>
              <w:rPr>
                <w:sz w:val="18"/>
                <w:szCs w:val="18"/>
              </w:rPr>
            </w:pPr>
            <w:r w:rsidRPr="000D0DA8">
              <w:rPr>
                <w:sz w:val="18"/>
                <w:szCs w:val="18"/>
              </w:rPr>
              <w:t>13 complétées ; 11 = "très" ou "beaucoup" améliorées</w:t>
            </w:r>
          </w:p>
        </w:tc>
        <w:tc>
          <w:tcPr>
            <w:tcW w:w="3403" w:type="dxa"/>
          </w:tcPr>
          <w:p w:rsidR="004C4E80" w:rsidRPr="000D0DA8" w:rsidRDefault="004C4E80" w:rsidP="004C4E80">
            <w:pPr>
              <w:spacing w:after="200" w:line="276" w:lineRule="auto"/>
              <w:rPr>
                <w:sz w:val="18"/>
                <w:szCs w:val="18"/>
              </w:rPr>
            </w:pPr>
            <w:r w:rsidRPr="000D0DA8">
              <w:rPr>
                <w:sz w:val="18"/>
                <w:szCs w:val="18"/>
              </w:rPr>
              <w:t>Effets indésirables : sédation, maux de tête et irritabilité.</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Windhaber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Oxcarbamazepine</w:t>
            </w:r>
          </w:p>
          <w:p w:rsidR="004C4E80" w:rsidRPr="000D0DA8" w:rsidRDefault="004C4E80" w:rsidP="004C4E80">
            <w:pPr>
              <w:spacing w:after="200" w:line="276" w:lineRule="auto"/>
              <w:rPr>
                <w:sz w:val="18"/>
                <w:szCs w:val="18"/>
                <w:lang w:val="en-US"/>
              </w:rPr>
            </w:pPr>
          </w:p>
        </w:tc>
        <w:tc>
          <w:tcPr>
            <w:tcW w:w="850" w:type="dxa"/>
          </w:tcPr>
          <w:p w:rsidR="004C4E80" w:rsidRPr="000D0DA8" w:rsidRDefault="004C4E80" w:rsidP="004C4E80">
            <w:pPr>
              <w:spacing w:after="200" w:line="276" w:lineRule="auto"/>
              <w:rPr>
                <w:sz w:val="18"/>
                <w:szCs w:val="18"/>
                <w:lang w:val="en-US"/>
              </w:rPr>
            </w:pPr>
            <w:r w:rsidRPr="000D0DA8">
              <w:rPr>
                <w:sz w:val="18"/>
                <w:szCs w:val="18"/>
              </w:rPr>
              <w:t>Rapport d'étude de cas</w:t>
            </w:r>
          </w:p>
        </w:tc>
        <w:tc>
          <w:tcPr>
            <w:tcW w:w="709" w:type="dxa"/>
          </w:tcPr>
          <w:p w:rsidR="004C4E80" w:rsidRPr="000D0DA8" w:rsidRDefault="004C4E80" w:rsidP="004C4E80">
            <w:pPr>
              <w:spacing w:after="200" w:line="276" w:lineRule="auto"/>
              <w:rPr>
                <w:sz w:val="18"/>
                <w:szCs w:val="18"/>
                <w:lang w:val="en-US"/>
              </w:rPr>
            </w:pPr>
            <w:r w:rsidRPr="000D0DA8">
              <w:rPr>
                <w:sz w:val="18"/>
                <w:szCs w:val="18"/>
              </w:rPr>
              <w:t>6 mois</w:t>
            </w:r>
          </w:p>
          <w:p w:rsidR="004C4E80" w:rsidRPr="000D0DA8" w:rsidRDefault="004C4E80" w:rsidP="004C4E80">
            <w:pPr>
              <w:spacing w:after="200" w:line="276" w:lineRule="auto"/>
              <w:rPr>
                <w:sz w:val="18"/>
                <w:szCs w:val="18"/>
                <w:lang w:val="en-US"/>
              </w:rPr>
            </w:pP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1</w:t>
            </w:r>
          </w:p>
        </w:tc>
        <w:tc>
          <w:tcPr>
            <w:tcW w:w="850" w:type="dxa"/>
          </w:tcPr>
          <w:p w:rsidR="004C4E80" w:rsidRPr="000D0DA8" w:rsidRDefault="004C4E80" w:rsidP="004C4E80">
            <w:pPr>
              <w:spacing w:after="200" w:line="276" w:lineRule="auto"/>
              <w:rPr>
                <w:sz w:val="18"/>
                <w:szCs w:val="18"/>
                <w:lang w:val="en-US"/>
              </w:rPr>
            </w:pPr>
            <w:r w:rsidRPr="000D0DA8">
              <w:rPr>
                <w:sz w:val="18"/>
                <w:szCs w:val="18"/>
              </w:rPr>
              <w:t>900 mg/jour</w:t>
            </w:r>
          </w:p>
        </w:tc>
        <w:tc>
          <w:tcPr>
            <w:tcW w:w="2835" w:type="dxa"/>
          </w:tcPr>
          <w:p w:rsidR="004C4E80" w:rsidRPr="000D0DA8" w:rsidRDefault="004C4E80" w:rsidP="004C4E80">
            <w:pPr>
              <w:spacing w:after="200" w:line="276" w:lineRule="auto"/>
              <w:rPr>
                <w:sz w:val="18"/>
                <w:szCs w:val="18"/>
              </w:rPr>
            </w:pPr>
            <w:r w:rsidRPr="000D0DA8">
              <w:rPr>
                <w:sz w:val="18"/>
                <w:szCs w:val="18"/>
              </w:rPr>
              <w:t>Rémission des symptômes de panique 2 semaines après l'augmentation de la dose d'oxcarbazépine à 900 mg/jour.</w:t>
            </w:r>
          </w:p>
        </w:tc>
        <w:tc>
          <w:tcPr>
            <w:tcW w:w="3403" w:type="dxa"/>
          </w:tcPr>
          <w:p w:rsidR="004C4E80" w:rsidRPr="000D0DA8" w:rsidRDefault="004C4E80" w:rsidP="004C4E80">
            <w:pPr>
              <w:spacing w:after="200" w:line="276" w:lineRule="auto"/>
              <w:rPr>
                <w:sz w:val="18"/>
                <w:szCs w:val="18"/>
                <w:lang w:val="en-US"/>
              </w:rPr>
            </w:pPr>
            <w:r w:rsidRPr="000D0DA8">
              <w:rPr>
                <w:sz w:val="18"/>
                <w:szCs w:val="18"/>
              </w:rPr>
              <w:t xml:space="preserve">De l'oxcarbazépine (600 mg/jour) a été administrée pour deux crises induites par l'alcool ; 2 semaines plus tard, des attaques de panique sont apparues, qui ont disparu après une augmentation de l'oxcarbazépine à 900 mg/jour. </w:t>
            </w:r>
            <w:r w:rsidRPr="000D0DA8">
              <w:rPr>
                <w:sz w:val="18"/>
                <w:szCs w:val="18"/>
                <w:lang w:val="en-US"/>
              </w:rPr>
              <w:t>Aucune réapparition au cours des 6 mois suivants.</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Zwanzger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 xml:space="preserve">Tiagabine </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4 semaines</w:t>
            </w:r>
          </w:p>
          <w:p w:rsidR="004C4E80" w:rsidRPr="000D0DA8" w:rsidRDefault="004C4E80" w:rsidP="004C4E80">
            <w:pPr>
              <w:spacing w:after="200" w:line="276" w:lineRule="auto"/>
              <w:rPr>
                <w:sz w:val="18"/>
                <w:szCs w:val="18"/>
                <w:lang w:val="en-US"/>
              </w:rPr>
            </w:pP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 xml:space="preserve">4 </w:t>
            </w:r>
          </w:p>
        </w:tc>
        <w:tc>
          <w:tcPr>
            <w:tcW w:w="850" w:type="dxa"/>
          </w:tcPr>
          <w:p w:rsidR="004C4E80" w:rsidRPr="000D0DA8" w:rsidRDefault="004C4E80" w:rsidP="004C4E80">
            <w:pPr>
              <w:spacing w:after="200" w:line="276" w:lineRule="auto"/>
              <w:rPr>
                <w:sz w:val="18"/>
                <w:szCs w:val="18"/>
                <w:lang w:val="en-US"/>
              </w:rPr>
            </w:pPr>
            <w:r w:rsidRPr="000D0DA8">
              <w:rPr>
                <w:sz w:val="18"/>
                <w:szCs w:val="18"/>
              </w:rPr>
              <w:t>15 mg/jour</w:t>
            </w:r>
          </w:p>
        </w:tc>
        <w:tc>
          <w:tcPr>
            <w:tcW w:w="2835" w:type="dxa"/>
          </w:tcPr>
          <w:p w:rsidR="004C4E80" w:rsidRPr="000D0DA8" w:rsidRDefault="004C4E80" w:rsidP="004C4E80">
            <w:pPr>
              <w:spacing w:after="200" w:line="276" w:lineRule="auto"/>
              <w:rPr>
                <w:sz w:val="18"/>
                <w:szCs w:val="18"/>
              </w:rPr>
            </w:pPr>
            <w:r w:rsidRPr="000D0DA8">
              <w:rPr>
                <w:sz w:val="18"/>
                <w:szCs w:val="18"/>
              </w:rPr>
              <w:t>Amélioration marquée de la panique et de l'agoraphobie.</w:t>
            </w:r>
          </w:p>
        </w:tc>
        <w:tc>
          <w:tcPr>
            <w:tcW w:w="3403" w:type="dxa"/>
          </w:tcPr>
          <w:p w:rsidR="004C4E80" w:rsidRPr="000D0DA8" w:rsidRDefault="004C4E80" w:rsidP="004C4E80">
            <w:pPr>
              <w:spacing w:after="200" w:line="276" w:lineRule="auto"/>
              <w:rPr>
                <w:sz w:val="18"/>
                <w:szCs w:val="18"/>
              </w:rPr>
            </w:pPr>
            <w:r w:rsidRPr="000D0DA8">
              <w:rPr>
                <w:sz w:val="18"/>
                <w:szCs w:val="18"/>
              </w:rPr>
              <w:t>Chez deux des quatre patients, la rémission a été obtenue après 4 semaines de traitement. Avant l'essai, trois patients étaient résistants au traitement et le dernier n'avait jamais reçu de médicament. L'état d'un patient s'est amélioré mais il a arrêté la tiagabine après 2 semaines en raison d'effets secondaires.</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Sheehan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 xml:space="preserve">Tiagabine </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 (Open-label)</w:t>
            </w:r>
          </w:p>
        </w:tc>
        <w:tc>
          <w:tcPr>
            <w:tcW w:w="709" w:type="dxa"/>
          </w:tcPr>
          <w:p w:rsidR="004C4E80" w:rsidRPr="000D0DA8" w:rsidRDefault="004C4E80" w:rsidP="004C4E80">
            <w:pPr>
              <w:spacing w:after="200" w:line="276" w:lineRule="auto"/>
              <w:rPr>
                <w:sz w:val="18"/>
                <w:szCs w:val="18"/>
                <w:lang w:val="en-US"/>
              </w:rPr>
            </w:pPr>
            <w:r w:rsidRPr="000D0DA8">
              <w:rPr>
                <w:sz w:val="18"/>
                <w:szCs w:val="18"/>
              </w:rPr>
              <w:t>10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 xml:space="preserve">28 </w:t>
            </w:r>
          </w:p>
        </w:tc>
        <w:tc>
          <w:tcPr>
            <w:tcW w:w="850" w:type="dxa"/>
          </w:tcPr>
          <w:p w:rsidR="004C4E80" w:rsidRPr="000D0DA8" w:rsidRDefault="004C4E80" w:rsidP="004C4E80">
            <w:pPr>
              <w:spacing w:after="200" w:line="276" w:lineRule="auto"/>
              <w:rPr>
                <w:sz w:val="18"/>
                <w:szCs w:val="18"/>
              </w:rPr>
            </w:pPr>
            <w:r w:rsidRPr="000D0DA8">
              <w:rPr>
                <w:sz w:val="18"/>
                <w:szCs w:val="18"/>
              </w:rPr>
              <w:t xml:space="preserve">Dose moyenne = 15,1 mg/jour (intervalle = 4-20 </w:t>
            </w:r>
            <w:r w:rsidRPr="000D0DA8">
              <w:rPr>
                <w:sz w:val="18"/>
                <w:szCs w:val="18"/>
              </w:rPr>
              <w:lastRenderedPageBreak/>
              <w:t>mg/jour).</w:t>
            </w:r>
          </w:p>
        </w:tc>
        <w:tc>
          <w:tcPr>
            <w:tcW w:w="2835" w:type="dxa"/>
          </w:tcPr>
          <w:p w:rsidR="004C4E80" w:rsidRPr="000D0DA8" w:rsidRDefault="004C4E80" w:rsidP="004C4E80">
            <w:pPr>
              <w:spacing w:after="200" w:line="276" w:lineRule="auto"/>
              <w:rPr>
                <w:sz w:val="18"/>
                <w:szCs w:val="18"/>
              </w:rPr>
            </w:pPr>
            <w:r w:rsidRPr="000D0DA8">
              <w:rPr>
                <w:sz w:val="18"/>
                <w:szCs w:val="18"/>
              </w:rPr>
              <w:lastRenderedPageBreak/>
              <w:t>Réductions des symptômes statistiquement significatives mais cliniquement non significatives (25-32%).</w:t>
            </w:r>
          </w:p>
        </w:tc>
        <w:tc>
          <w:tcPr>
            <w:tcW w:w="3403" w:type="dxa"/>
          </w:tcPr>
          <w:p w:rsidR="004C4E80" w:rsidRPr="000D0DA8" w:rsidRDefault="004C4E80" w:rsidP="004C4E80">
            <w:pPr>
              <w:spacing w:after="200" w:line="276" w:lineRule="auto"/>
              <w:rPr>
                <w:sz w:val="18"/>
                <w:szCs w:val="18"/>
              </w:rPr>
            </w:pPr>
            <w:r w:rsidRPr="000D0DA8">
              <w:rPr>
                <w:sz w:val="18"/>
                <w:szCs w:val="18"/>
              </w:rPr>
              <w:t>Effets indésirables : nausées, vertiges et maux de tête. Nombreux abandons (N = 5) en raison des effets secondaires.</w:t>
            </w:r>
          </w:p>
        </w:tc>
      </w:tr>
      <w:tr w:rsidR="004C4E80" w:rsidTr="0061014E">
        <w:tc>
          <w:tcPr>
            <w:tcW w:w="850" w:type="dxa"/>
          </w:tcPr>
          <w:p w:rsidR="004C4E80" w:rsidRPr="000D0DA8" w:rsidRDefault="004C4E80" w:rsidP="004C4E80">
            <w:pPr>
              <w:spacing w:after="200" w:line="276" w:lineRule="auto"/>
              <w:rPr>
                <w:sz w:val="18"/>
                <w:szCs w:val="18"/>
              </w:rPr>
            </w:pPr>
            <w:r w:rsidRPr="000D0DA8">
              <w:rPr>
                <w:sz w:val="18"/>
                <w:szCs w:val="18"/>
              </w:rPr>
              <w:t xml:space="preserve">Zwanzger </w:t>
            </w:r>
            <w:r w:rsidRPr="000D0DA8">
              <w:rPr>
                <w:i/>
                <w:iCs/>
                <w:sz w:val="18"/>
                <w:szCs w:val="18"/>
              </w:rPr>
              <w:t>et al.</w:t>
            </w:r>
          </w:p>
        </w:tc>
        <w:tc>
          <w:tcPr>
            <w:tcW w:w="1135" w:type="dxa"/>
          </w:tcPr>
          <w:p w:rsidR="004C4E80" w:rsidRPr="000D0DA8" w:rsidRDefault="004C4E80" w:rsidP="004C4E80">
            <w:pPr>
              <w:spacing w:after="200" w:line="276" w:lineRule="auto"/>
              <w:rPr>
                <w:sz w:val="18"/>
                <w:szCs w:val="18"/>
              </w:rPr>
            </w:pPr>
            <w:r w:rsidRPr="000D0DA8">
              <w:rPr>
                <w:sz w:val="18"/>
                <w:szCs w:val="18"/>
              </w:rPr>
              <w:t>Tiagabine</w:t>
            </w:r>
          </w:p>
        </w:tc>
        <w:tc>
          <w:tcPr>
            <w:tcW w:w="850" w:type="dxa"/>
          </w:tcPr>
          <w:p w:rsidR="004C4E80" w:rsidRPr="000D0DA8" w:rsidRDefault="004C4E80" w:rsidP="004C4E80">
            <w:pPr>
              <w:spacing w:after="200" w:line="276" w:lineRule="auto"/>
              <w:rPr>
                <w:sz w:val="18"/>
                <w:szCs w:val="18"/>
              </w:rPr>
            </w:pPr>
            <w:r w:rsidRPr="000D0DA8">
              <w:rPr>
                <w:sz w:val="18"/>
                <w:szCs w:val="18"/>
              </w:rPr>
              <w:t>Double aveugle, contrôlé par placebo</w:t>
            </w:r>
          </w:p>
        </w:tc>
        <w:tc>
          <w:tcPr>
            <w:tcW w:w="709" w:type="dxa"/>
          </w:tcPr>
          <w:p w:rsidR="004C4E80" w:rsidRPr="000D0DA8" w:rsidRDefault="004C4E80" w:rsidP="004C4E80">
            <w:pPr>
              <w:spacing w:after="200" w:line="276" w:lineRule="auto"/>
              <w:rPr>
                <w:sz w:val="18"/>
                <w:szCs w:val="18"/>
              </w:rPr>
            </w:pPr>
            <w:r w:rsidRPr="000D0DA8">
              <w:rPr>
                <w:sz w:val="18"/>
                <w:szCs w:val="18"/>
              </w:rPr>
              <w:t>4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rPr>
              <w:t>19 traitement actif = 10 ; placebo = 9</w:t>
            </w:r>
          </w:p>
        </w:tc>
        <w:tc>
          <w:tcPr>
            <w:tcW w:w="850" w:type="dxa"/>
          </w:tcPr>
          <w:p w:rsidR="004C4E80" w:rsidRPr="000D0DA8" w:rsidRDefault="004C4E80" w:rsidP="004C4E80">
            <w:pPr>
              <w:spacing w:after="200" w:line="276" w:lineRule="auto"/>
              <w:rPr>
                <w:sz w:val="18"/>
                <w:szCs w:val="18"/>
                <w:lang w:val="en-US"/>
              </w:rPr>
            </w:pPr>
            <w:r w:rsidRPr="000D0DA8">
              <w:rPr>
                <w:sz w:val="18"/>
                <w:szCs w:val="18"/>
              </w:rPr>
              <w:t>Jusqu'à 30 mg/jour</w:t>
            </w:r>
          </w:p>
        </w:tc>
        <w:tc>
          <w:tcPr>
            <w:tcW w:w="2835" w:type="dxa"/>
          </w:tcPr>
          <w:p w:rsidR="004C4E80" w:rsidRPr="000D0DA8" w:rsidRDefault="004C4E80" w:rsidP="004C4E80">
            <w:pPr>
              <w:spacing w:after="200" w:line="276" w:lineRule="auto"/>
              <w:rPr>
                <w:sz w:val="18"/>
                <w:szCs w:val="18"/>
              </w:rPr>
            </w:pPr>
            <w:r w:rsidRPr="000D0DA8">
              <w:rPr>
                <w:sz w:val="18"/>
                <w:szCs w:val="18"/>
              </w:rPr>
              <w:t>Amélioration clinique : la tiagabine n'était pas supérieure au placebo. Mais les défis CCK-4 (après 2 et 4 semaines de traitement) : significativement moins de patients tiagabine ont paniqué par rapport aux patients placebo.</w:t>
            </w:r>
          </w:p>
        </w:tc>
        <w:tc>
          <w:tcPr>
            <w:tcW w:w="3403" w:type="dxa"/>
          </w:tcPr>
          <w:p w:rsidR="004C4E80" w:rsidRPr="000D0DA8" w:rsidRDefault="004C4E80" w:rsidP="004C4E80">
            <w:pPr>
              <w:spacing w:after="200" w:line="276" w:lineRule="auto"/>
              <w:rPr>
                <w:sz w:val="18"/>
                <w:szCs w:val="18"/>
              </w:rPr>
            </w:pPr>
            <w:r w:rsidRPr="000D0DA8">
              <w:rPr>
                <w:sz w:val="18"/>
                <w:szCs w:val="18"/>
              </w:rPr>
              <w:t xml:space="preserve">La tiagabine peut réduire la sensibilité aux stimuli panicogènes. Les patients n'ont pas pris de médicaments </w:t>
            </w:r>
            <w:r w:rsidRPr="000D0DA8">
              <w:rPr>
                <w:rFonts w:ascii="Cambria Math" w:hAnsi="Cambria Math" w:cs="Cambria Math"/>
                <w:sz w:val="18"/>
                <w:szCs w:val="18"/>
                <w:lang w:val="en-US"/>
              </w:rPr>
              <w:t>⩾</w:t>
            </w:r>
            <w:r w:rsidRPr="000D0DA8">
              <w:rPr>
                <w:sz w:val="18"/>
                <w:szCs w:val="18"/>
              </w:rPr>
              <w:t>10 jours avant la prise. Dose initiale = 5 mg ; augmentée individuellement jusqu'à un maximum de 15 mg/jour (1ère semaine) et 30 mg/jour (semaines 2-4). Des doses plus élevées et une durée de traitement plus longue peuvent être nécessaires.</w:t>
            </w:r>
          </w:p>
        </w:tc>
      </w:tr>
      <w:tr w:rsidR="004C4E80" w:rsidTr="0061014E">
        <w:tc>
          <w:tcPr>
            <w:tcW w:w="850" w:type="dxa"/>
          </w:tcPr>
          <w:p w:rsidR="004C4E80" w:rsidRPr="000D0DA8" w:rsidRDefault="004C4E80" w:rsidP="004C4E80">
            <w:pPr>
              <w:spacing w:after="200" w:line="276" w:lineRule="auto"/>
              <w:rPr>
                <w:sz w:val="18"/>
                <w:szCs w:val="18"/>
              </w:rPr>
            </w:pPr>
            <w:r w:rsidRPr="000D0DA8">
              <w:rPr>
                <w:sz w:val="18"/>
                <w:szCs w:val="18"/>
              </w:rPr>
              <w:t xml:space="preserve">Primeau and Fontaine, Primeau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Valproate</w:t>
            </w:r>
          </w:p>
        </w:tc>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En ouvert </w:t>
            </w:r>
          </w:p>
        </w:tc>
        <w:tc>
          <w:tcPr>
            <w:tcW w:w="709" w:type="dxa"/>
          </w:tcPr>
          <w:p w:rsidR="004C4E80" w:rsidRPr="000D0DA8" w:rsidRDefault="004C4E80" w:rsidP="004C4E80">
            <w:pPr>
              <w:spacing w:after="200" w:line="276" w:lineRule="auto"/>
              <w:rPr>
                <w:sz w:val="18"/>
                <w:szCs w:val="18"/>
                <w:lang w:val="en-US"/>
              </w:rPr>
            </w:pPr>
            <w:r w:rsidRPr="000D0DA8">
              <w:rPr>
                <w:sz w:val="18"/>
                <w:szCs w:val="18"/>
              </w:rPr>
              <w:t>7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10</w:t>
            </w:r>
          </w:p>
        </w:tc>
        <w:tc>
          <w:tcPr>
            <w:tcW w:w="850" w:type="dxa"/>
          </w:tcPr>
          <w:p w:rsidR="004C4E80" w:rsidRPr="000D0DA8" w:rsidRDefault="004C4E80" w:rsidP="004C4E80">
            <w:pPr>
              <w:spacing w:after="200" w:line="276" w:lineRule="auto"/>
              <w:rPr>
                <w:sz w:val="18"/>
                <w:szCs w:val="18"/>
                <w:lang w:val="en-US"/>
              </w:rPr>
            </w:pPr>
            <w:r w:rsidRPr="000D0DA8">
              <w:rPr>
                <w:sz w:val="18"/>
                <w:szCs w:val="18"/>
              </w:rPr>
              <w:t>Jusqu'à 2250 mg/jour</w:t>
            </w:r>
          </w:p>
        </w:tc>
        <w:tc>
          <w:tcPr>
            <w:tcW w:w="2835" w:type="dxa"/>
          </w:tcPr>
          <w:p w:rsidR="004C4E80" w:rsidRPr="000D0DA8" w:rsidRDefault="004C4E80" w:rsidP="004C4E80">
            <w:pPr>
              <w:spacing w:after="200" w:line="276" w:lineRule="auto"/>
              <w:rPr>
                <w:sz w:val="18"/>
                <w:szCs w:val="18"/>
              </w:rPr>
            </w:pPr>
            <w:r w:rsidRPr="000D0DA8">
              <w:rPr>
                <w:sz w:val="18"/>
                <w:szCs w:val="18"/>
              </w:rPr>
              <w:t>Amélioration significative des attaques de panique et de la psychopathologie globale mais pas de l'anxiété phobique.</w:t>
            </w:r>
          </w:p>
        </w:tc>
        <w:tc>
          <w:tcPr>
            <w:tcW w:w="3403" w:type="dxa"/>
          </w:tcPr>
          <w:p w:rsidR="004C4E80" w:rsidRPr="000D0DA8" w:rsidRDefault="004C4E80" w:rsidP="004C4E80">
            <w:pPr>
              <w:spacing w:after="200" w:line="276" w:lineRule="auto"/>
              <w:rPr>
                <w:sz w:val="18"/>
                <w:szCs w:val="18"/>
              </w:rPr>
            </w:pPr>
            <w:r w:rsidRPr="000D0DA8">
              <w:rPr>
                <w:sz w:val="18"/>
                <w:szCs w:val="18"/>
              </w:rPr>
              <w:t>1 semaine d'élimination du placebo avant l'administration du valproate. Dose initiale = 500 mg/jour ; augmenter de 250 mg tous les deux jours, jusqu'à 2250 mg/jour selon la réponse et la tolérance. Un abandon en raison d'un effet secondaire (brûlures d'estomac). Effets indésirables fréquents : nausées, vertiges, somnolence et tremblements.</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Ontiveros and Fontaine</w:t>
            </w:r>
          </w:p>
        </w:tc>
        <w:tc>
          <w:tcPr>
            <w:tcW w:w="1135" w:type="dxa"/>
          </w:tcPr>
          <w:p w:rsidR="004C4E80" w:rsidRPr="000D0DA8" w:rsidRDefault="004C4E80" w:rsidP="004C4E80">
            <w:pPr>
              <w:spacing w:after="200" w:line="276" w:lineRule="auto"/>
              <w:rPr>
                <w:sz w:val="18"/>
                <w:szCs w:val="18"/>
                <w:lang w:val="en-US"/>
              </w:rPr>
            </w:pPr>
            <w:r w:rsidRPr="000D0DA8">
              <w:rPr>
                <w:sz w:val="18"/>
                <w:szCs w:val="18"/>
              </w:rPr>
              <w:t>Valproate sodiumclonazepam combination</w:t>
            </w:r>
          </w:p>
        </w:tc>
        <w:tc>
          <w:tcPr>
            <w:tcW w:w="850" w:type="dxa"/>
          </w:tcPr>
          <w:p w:rsidR="004C4E80" w:rsidRPr="000D0DA8" w:rsidRDefault="004C4E80" w:rsidP="004C4E80">
            <w:pPr>
              <w:spacing w:after="200" w:line="276" w:lineRule="auto"/>
              <w:rPr>
                <w:sz w:val="18"/>
                <w:szCs w:val="18"/>
                <w:lang w:val="en-US"/>
              </w:rPr>
            </w:pPr>
            <w:r w:rsidRPr="000D0DA8">
              <w:rPr>
                <w:sz w:val="18"/>
                <w:szCs w:val="18"/>
              </w:rPr>
              <w:t>Rapport d'étude de cas</w:t>
            </w:r>
          </w:p>
        </w:tc>
        <w:tc>
          <w:tcPr>
            <w:tcW w:w="709" w:type="dxa"/>
          </w:tcPr>
          <w:p w:rsidR="004C4E80" w:rsidRPr="000D0DA8" w:rsidRDefault="004C4E80" w:rsidP="004C4E80">
            <w:pPr>
              <w:spacing w:after="200" w:line="276" w:lineRule="auto"/>
              <w:rPr>
                <w:sz w:val="18"/>
                <w:szCs w:val="18"/>
              </w:rPr>
            </w:pPr>
            <w:r w:rsidRPr="000D0DA8">
              <w:rPr>
                <w:sz w:val="18"/>
                <w:szCs w:val="18"/>
              </w:rPr>
              <w:t>Suivi de 4 mois à 2 ans.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4</w:t>
            </w:r>
          </w:p>
        </w:tc>
        <w:tc>
          <w:tcPr>
            <w:tcW w:w="850" w:type="dxa"/>
          </w:tcPr>
          <w:p w:rsidR="004C4E80" w:rsidRPr="000D0DA8" w:rsidRDefault="004C4E80" w:rsidP="004C4E80">
            <w:pPr>
              <w:spacing w:after="200" w:line="276" w:lineRule="auto"/>
              <w:rPr>
                <w:sz w:val="18"/>
                <w:szCs w:val="18"/>
              </w:rPr>
            </w:pPr>
            <w:r w:rsidRPr="000D0DA8">
              <w:rPr>
                <w:sz w:val="18"/>
                <w:szCs w:val="18"/>
              </w:rPr>
              <w:t>Valproate : 1250- 2000 mg/jour ; Clonazepam : 2-6 mg/jour.</w:t>
            </w:r>
          </w:p>
        </w:tc>
        <w:tc>
          <w:tcPr>
            <w:tcW w:w="2835" w:type="dxa"/>
          </w:tcPr>
          <w:p w:rsidR="004C4E80" w:rsidRPr="000D0DA8" w:rsidRDefault="004C4E80" w:rsidP="004C4E80">
            <w:pPr>
              <w:spacing w:after="200" w:line="276" w:lineRule="auto"/>
              <w:rPr>
                <w:sz w:val="18"/>
                <w:szCs w:val="18"/>
              </w:rPr>
            </w:pPr>
            <w:r w:rsidRPr="000D0DA8">
              <w:rPr>
                <w:sz w:val="18"/>
                <w:szCs w:val="18"/>
              </w:rPr>
              <w:t>Les améliorations cliniquement significatives ont été maintenues pendant le suivi.</w:t>
            </w:r>
          </w:p>
        </w:tc>
        <w:tc>
          <w:tcPr>
            <w:tcW w:w="3403" w:type="dxa"/>
          </w:tcPr>
          <w:p w:rsidR="004C4E80" w:rsidRPr="000D0DA8" w:rsidRDefault="004C4E80" w:rsidP="004C4E80">
            <w:pPr>
              <w:spacing w:after="200" w:line="276" w:lineRule="auto"/>
              <w:rPr>
                <w:sz w:val="18"/>
                <w:szCs w:val="18"/>
              </w:rPr>
            </w:pPr>
            <w:r w:rsidRPr="000D0DA8">
              <w:rPr>
                <w:sz w:val="18"/>
                <w:szCs w:val="18"/>
              </w:rPr>
              <w:t>L'état de trois patients s'est nettement amélioré après l'ajout de valproate au traitement initial par clonazépam. Un quatrième patient avait des antécédents d'abus d'alcool et de benzodiazépines. Dans tous les cas, des rechutes sont survenues lorsque la dose de clonazépam a été réduite après la réponse initiale.</w:t>
            </w:r>
          </w:p>
        </w:tc>
      </w:tr>
      <w:tr w:rsidR="004C4E80" w:rsidTr="0061014E">
        <w:tc>
          <w:tcPr>
            <w:tcW w:w="850" w:type="dxa"/>
          </w:tcPr>
          <w:p w:rsidR="004C4E80" w:rsidRPr="000D0DA8" w:rsidRDefault="004C4E80" w:rsidP="004C4E80">
            <w:pPr>
              <w:spacing w:after="200" w:line="276" w:lineRule="auto"/>
              <w:rPr>
                <w:sz w:val="18"/>
                <w:szCs w:val="18"/>
                <w:lang w:val="en-US"/>
              </w:rPr>
            </w:pPr>
            <w:r w:rsidRPr="000D0DA8">
              <w:rPr>
                <w:sz w:val="18"/>
                <w:szCs w:val="18"/>
              </w:rPr>
              <w:t xml:space="preserve">Keck </w:t>
            </w:r>
            <w:r w:rsidRPr="000D0DA8">
              <w:rPr>
                <w:i/>
                <w:iCs/>
                <w:sz w:val="18"/>
                <w:szCs w:val="18"/>
              </w:rPr>
              <w:t>et al.</w:t>
            </w:r>
          </w:p>
        </w:tc>
        <w:tc>
          <w:tcPr>
            <w:tcW w:w="1135" w:type="dxa"/>
          </w:tcPr>
          <w:p w:rsidR="004C4E80" w:rsidRPr="000D0DA8" w:rsidRDefault="004C4E80" w:rsidP="004C4E80">
            <w:pPr>
              <w:spacing w:after="200" w:line="276" w:lineRule="auto"/>
              <w:rPr>
                <w:sz w:val="18"/>
                <w:szCs w:val="18"/>
                <w:lang w:val="en-US"/>
              </w:rPr>
            </w:pPr>
            <w:r w:rsidRPr="000D0DA8">
              <w:rPr>
                <w:sz w:val="18"/>
                <w:szCs w:val="18"/>
              </w:rPr>
              <w:t>Valproate</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w:t>
            </w:r>
          </w:p>
        </w:tc>
        <w:tc>
          <w:tcPr>
            <w:tcW w:w="709" w:type="dxa"/>
          </w:tcPr>
          <w:p w:rsidR="004C4E80" w:rsidRPr="000D0DA8" w:rsidRDefault="004C4E80" w:rsidP="004C4E80">
            <w:pPr>
              <w:spacing w:after="200" w:line="276" w:lineRule="auto"/>
              <w:rPr>
                <w:sz w:val="18"/>
                <w:szCs w:val="18"/>
                <w:lang w:val="en-US"/>
              </w:rPr>
            </w:pPr>
            <w:r w:rsidRPr="000D0DA8">
              <w:rPr>
                <w:sz w:val="18"/>
                <w:szCs w:val="18"/>
              </w:rPr>
              <w:t>4 semaines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14</w:t>
            </w:r>
          </w:p>
        </w:tc>
        <w:tc>
          <w:tcPr>
            <w:tcW w:w="850" w:type="dxa"/>
          </w:tcPr>
          <w:p w:rsidR="004C4E80" w:rsidRPr="000D0DA8" w:rsidRDefault="004C4E80" w:rsidP="004C4E80">
            <w:pPr>
              <w:spacing w:after="200" w:line="276" w:lineRule="auto"/>
              <w:rPr>
                <w:sz w:val="18"/>
                <w:szCs w:val="18"/>
                <w:lang w:val="en-US"/>
              </w:rPr>
            </w:pPr>
            <w:r w:rsidRPr="000D0DA8">
              <w:rPr>
                <w:sz w:val="18"/>
                <w:szCs w:val="18"/>
              </w:rPr>
              <w:t>20 mg/kg/jour</w:t>
            </w:r>
          </w:p>
        </w:tc>
        <w:tc>
          <w:tcPr>
            <w:tcW w:w="2835" w:type="dxa"/>
          </w:tcPr>
          <w:p w:rsidR="004C4E80" w:rsidRPr="000D0DA8" w:rsidRDefault="004C4E80" w:rsidP="004C4E80">
            <w:pPr>
              <w:spacing w:after="200" w:line="276" w:lineRule="auto"/>
              <w:rPr>
                <w:sz w:val="18"/>
                <w:szCs w:val="18"/>
              </w:rPr>
            </w:pPr>
            <w:r w:rsidRPr="000D0DA8">
              <w:rPr>
                <w:sz w:val="18"/>
                <w:szCs w:val="18"/>
              </w:rPr>
              <w:t>10 patients (71%) : &gt;50% de réduction de la fréquence des attaques de panique ; quatre patients : rémission complète. Et défi au lactate : 10 des 12 paniqueurs de base traités au valproate (83%) n'ont pas paniqué après le traitement.</w:t>
            </w:r>
          </w:p>
        </w:tc>
        <w:tc>
          <w:tcPr>
            <w:tcW w:w="3403" w:type="dxa"/>
          </w:tcPr>
          <w:p w:rsidR="004C4E80" w:rsidRPr="000D0DA8" w:rsidRDefault="004C4E80" w:rsidP="004C4E80">
            <w:pPr>
              <w:spacing w:after="200" w:line="276" w:lineRule="auto"/>
              <w:rPr>
                <w:sz w:val="18"/>
                <w:szCs w:val="18"/>
              </w:rPr>
            </w:pPr>
            <w:r w:rsidRPr="000D0DA8">
              <w:rPr>
                <w:sz w:val="18"/>
                <w:szCs w:val="18"/>
              </w:rPr>
              <w:t>Les patients n'ont pas pris de médicaments pendant les 30 jours précédant l'administration du valproate.</w:t>
            </w:r>
          </w:p>
        </w:tc>
      </w:tr>
      <w:tr w:rsidR="004C4E80" w:rsidTr="0061014E">
        <w:tc>
          <w:tcPr>
            <w:tcW w:w="850" w:type="dxa"/>
          </w:tcPr>
          <w:p w:rsidR="004C4E80" w:rsidRPr="000D0DA8" w:rsidRDefault="004C4E80" w:rsidP="00E91FB6">
            <w:pPr>
              <w:spacing w:after="200" w:line="276" w:lineRule="auto"/>
              <w:rPr>
                <w:sz w:val="18"/>
                <w:szCs w:val="18"/>
                <w:lang w:val="en-US"/>
              </w:rPr>
            </w:pPr>
            <w:r w:rsidRPr="000D0DA8">
              <w:rPr>
                <w:sz w:val="18"/>
                <w:szCs w:val="18"/>
                <w:lang w:val="en-US"/>
              </w:rPr>
              <w:t xml:space="preserve">Zwanzger </w:t>
            </w:r>
            <w:r w:rsidRPr="000D0DA8">
              <w:rPr>
                <w:i/>
                <w:iCs/>
                <w:sz w:val="18"/>
                <w:szCs w:val="18"/>
                <w:lang w:val="en-US"/>
              </w:rPr>
              <w:t>et al</w:t>
            </w:r>
            <w:r w:rsidR="00E91FB6" w:rsidRPr="000D0DA8">
              <w:rPr>
                <w:i/>
                <w:iCs/>
                <w:sz w:val="18"/>
                <w:szCs w:val="18"/>
                <w:lang w:val="en-US"/>
              </w:rPr>
              <w:t>.</w:t>
            </w:r>
          </w:p>
        </w:tc>
        <w:tc>
          <w:tcPr>
            <w:tcW w:w="1135" w:type="dxa"/>
          </w:tcPr>
          <w:p w:rsidR="004C4E80" w:rsidRPr="000D0DA8" w:rsidRDefault="004C4E80" w:rsidP="004C4E80">
            <w:pPr>
              <w:spacing w:after="200" w:line="276" w:lineRule="auto"/>
              <w:rPr>
                <w:sz w:val="18"/>
                <w:szCs w:val="18"/>
                <w:lang w:val="en-US"/>
              </w:rPr>
            </w:pPr>
            <w:r w:rsidRPr="000D0DA8">
              <w:rPr>
                <w:sz w:val="18"/>
                <w:szCs w:val="18"/>
                <w:lang w:val="en-US"/>
              </w:rPr>
              <w:t>Vigabatrin</w:t>
            </w:r>
          </w:p>
        </w:tc>
        <w:tc>
          <w:tcPr>
            <w:tcW w:w="850" w:type="dxa"/>
          </w:tcPr>
          <w:p w:rsidR="004C4E80" w:rsidRPr="000D0DA8" w:rsidRDefault="004C4E80" w:rsidP="004C4E80">
            <w:pPr>
              <w:spacing w:after="200" w:line="276" w:lineRule="auto"/>
              <w:rPr>
                <w:sz w:val="18"/>
                <w:szCs w:val="18"/>
                <w:lang w:val="en-US"/>
              </w:rPr>
            </w:pPr>
            <w:r w:rsidRPr="000D0DA8">
              <w:rPr>
                <w:sz w:val="18"/>
                <w:szCs w:val="18"/>
              </w:rPr>
              <w:t>En ouvert</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4 semaines ; suivi de 6 mois</w:t>
            </w:r>
          </w:p>
        </w:tc>
        <w:tc>
          <w:tcPr>
            <w:tcW w:w="709" w:type="dxa"/>
          </w:tcPr>
          <w:p w:rsidR="004C4E80" w:rsidRPr="000D0DA8" w:rsidRDefault="004C4E80" w:rsidP="004C4E80">
            <w:pPr>
              <w:spacing w:after="200" w:line="276" w:lineRule="auto"/>
              <w:rPr>
                <w:sz w:val="18"/>
                <w:szCs w:val="18"/>
                <w:lang w:val="en-US"/>
              </w:rPr>
            </w:pPr>
            <w:r w:rsidRPr="000D0DA8">
              <w:rPr>
                <w:sz w:val="18"/>
                <w:szCs w:val="18"/>
                <w:lang w:val="en-US"/>
              </w:rPr>
              <w:t>3</w:t>
            </w:r>
          </w:p>
        </w:tc>
        <w:tc>
          <w:tcPr>
            <w:tcW w:w="850" w:type="dxa"/>
          </w:tcPr>
          <w:p w:rsidR="004C4E80" w:rsidRPr="000D0DA8" w:rsidRDefault="004C4E80" w:rsidP="004C4E80">
            <w:pPr>
              <w:spacing w:after="200" w:line="276" w:lineRule="auto"/>
              <w:rPr>
                <w:sz w:val="18"/>
                <w:szCs w:val="18"/>
                <w:lang w:val="en-US"/>
              </w:rPr>
            </w:pPr>
            <w:r w:rsidRPr="000D0DA8">
              <w:rPr>
                <w:sz w:val="18"/>
                <w:szCs w:val="18"/>
              </w:rPr>
              <w:t>2 g/jour</w:t>
            </w:r>
          </w:p>
        </w:tc>
        <w:tc>
          <w:tcPr>
            <w:tcW w:w="2835" w:type="dxa"/>
          </w:tcPr>
          <w:p w:rsidR="004C4E80" w:rsidRPr="000D0DA8" w:rsidRDefault="004C4E80" w:rsidP="004C4E80">
            <w:pPr>
              <w:spacing w:after="200" w:line="276" w:lineRule="auto"/>
              <w:rPr>
                <w:sz w:val="18"/>
                <w:szCs w:val="18"/>
              </w:rPr>
            </w:pPr>
            <w:r w:rsidRPr="000D0DA8">
              <w:rPr>
                <w:sz w:val="18"/>
                <w:szCs w:val="18"/>
              </w:rPr>
              <w:t>Réductions marquées des symptômes de panique. Deux patients (67 %) : rapidement libérés de la panique ; ils l'ont conservé pendant les 6 mois de l'essai.</w:t>
            </w:r>
          </w:p>
        </w:tc>
        <w:tc>
          <w:tcPr>
            <w:tcW w:w="3403" w:type="dxa"/>
          </w:tcPr>
          <w:p w:rsidR="004C4E80" w:rsidRPr="000D0DA8" w:rsidRDefault="004C4E80" w:rsidP="004C4E80">
            <w:pPr>
              <w:spacing w:after="200" w:line="276" w:lineRule="auto"/>
              <w:rPr>
                <w:sz w:val="18"/>
                <w:szCs w:val="18"/>
              </w:rPr>
            </w:pPr>
            <w:r w:rsidRPr="000D0DA8">
              <w:rPr>
                <w:sz w:val="18"/>
                <w:szCs w:val="18"/>
              </w:rPr>
              <w:t>Un suivi méticuleux est nécessaire pour détecter d'éventuelles restrictions du champ visuel après un traitement à long terme.</w:t>
            </w:r>
          </w:p>
        </w:tc>
      </w:tr>
    </w:tbl>
    <w:p w:rsidR="00992130" w:rsidRDefault="009C4907" w:rsidP="00992130">
      <w:pPr>
        <w:rPr>
          <w:sz w:val="12"/>
          <w:szCs w:val="12"/>
        </w:rPr>
      </w:pPr>
      <w:r>
        <w:rPr>
          <w:sz w:val="12"/>
          <w:szCs w:val="12"/>
        </w:rPr>
        <w:t xml:space="preserve">PS :  </w:t>
      </w:r>
      <w:r w:rsidR="000F60D9" w:rsidRPr="000F60D9">
        <w:rPr>
          <w:sz w:val="12"/>
          <w:szCs w:val="12"/>
        </w:rPr>
        <w:t>CCK-4, cholécystokinine-4 ; EEG, électroencéphalogramme ; PD, trouble panique ; PDA, trouble panique avec agoraphobie.</w:t>
      </w:r>
    </w:p>
    <w:p w:rsidR="009C4907" w:rsidRDefault="000D0DA8" w:rsidP="00992130">
      <w:pPr>
        <w:rPr>
          <w:sz w:val="12"/>
          <w:szCs w:val="12"/>
        </w:rPr>
      </w:pPr>
      <w:r w:rsidRPr="000D0DA8">
        <w:rPr>
          <w:sz w:val="24"/>
          <w:szCs w:val="24"/>
        </w:rPr>
        <w:t>Les antipsychotiques suivants (en ordre alphabét</w:t>
      </w:r>
      <w:r w:rsidR="00F13CCE">
        <w:rPr>
          <w:sz w:val="24"/>
          <w:szCs w:val="24"/>
        </w:rPr>
        <w:t>ique) ont été utilisés dans le T</w:t>
      </w:r>
      <w:r w:rsidRPr="000D0DA8">
        <w:rPr>
          <w:sz w:val="24"/>
          <w:szCs w:val="24"/>
        </w:rPr>
        <w:t>P avec ou sans comorbidités psychiatriques</w:t>
      </w:r>
      <w:r w:rsidR="00BB4D3B">
        <w:rPr>
          <w:sz w:val="24"/>
          <w:szCs w:val="24"/>
        </w:rPr>
        <w:t>. Voir ce tableai ci dessous</w:t>
      </w:r>
      <w:r w:rsidR="000F60D9" w:rsidRPr="000F60D9">
        <w:rPr>
          <w:sz w:val="12"/>
          <w:szCs w:val="12"/>
        </w:rPr>
        <w:t xml:space="preserve"> </w:t>
      </w:r>
    </w:p>
    <w:tbl>
      <w:tblPr>
        <w:tblStyle w:val="Grilledutableau"/>
        <w:tblW w:w="11340" w:type="dxa"/>
        <w:tblInd w:w="-1026" w:type="dxa"/>
        <w:tblLayout w:type="fixed"/>
        <w:tblLook w:val="04A0" w:firstRow="1" w:lastRow="0" w:firstColumn="1" w:lastColumn="0" w:noHBand="0" w:noVBand="1"/>
      </w:tblPr>
      <w:tblGrid>
        <w:gridCol w:w="943"/>
        <w:gridCol w:w="1042"/>
        <w:gridCol w:w="850"/>
        <w:gridCol w:w="709"/>
        <w:gridCol w:w="709"/>
        <w:gridCol w:w="850"/>
        <w:gridCol w:w="2835"/>
        <w:gridCol w:w="3402"/>
      </w:tblGrid>
      <w:tr w:rsidR="00E91FB6" w:rsidTr="0061014E">
        <w:tc>
          <w:tcPr>
            <w:tcW w:w="943" w:type="dxa"/>
          </w:tcPr>
          <w:p w:rsidR="009C4907" w:rsidRPr="000D0DA8" w:rsidRDefault="009C4907" w:rsidP="00402BBF">
            <w:pPr>
              <w:spacing w:after="200" w:line="276" w:lineRule="auto"/>
              <w:rPr>
                <w:sz w:val="18"/>
                <w:szCs w:val="18"/>
                <w:lang w:val="en-US"/>
              </w:rPr>
            </w:pPr>
            <w:r w:rsidRPr="000D0DA8">
              <w:rPr>
                <w:b/>
                <w:bCs/>
                <w:sz w:val="18"/>
                <w:szCs w:val="18"/>
              </w:rPr>
              <w:lastRenderedPageBreak/>
              <w:t>Auteurs</w:t>
            </w:r>
          </w:p>
        </w:tc>
        <w:tc>
          <w:tcPr>
            <w:tcW w:w="1042" w:type="dxa"/>
          </w:tcPr>
          <w:p w:rsidR="009C4907" w:rsidRPr="000D0DA8" w:rsidRDefault="009C4907" w:rsidP="009C4907">
            <w:pPr>
              <w:spacing w:after="200" w:line="276" w:lineRule="auto"/>
              <w:rPr>
                <w:sz w:val="18"/>
                <w:szCs w:val="18"/>
              </w:rPr>
            </w:pPr>
            <w:r w:rsidRPr="000D0DA8">
              <w:rPr>
                <w:b/>
                <w:bCs/>
                <w:sz w:val="18"/>
                <w:szCs w:val="18"/>
              </w:rPr>
              <w:t>Médicament antipsychotique :</w:t>
            </w:r>
          </w:p>
        </w:tc>
        <w:tc>
          <w:tcPr>
            <w:tcW w:w="850" w:type="dxa"/>
          </w:tcPr>
          <w:p w:rsidR="009C4907" w:rsidRPr="000D0DA8" w:rsidRDefault="009C4907" w:rsidP="00402BBF">
            <w:pPr>
              <w:spacing w:after="200" w:line="276" w:lineRule="auto"/>
              <w:rPr>
                <w:sz w:val="18"/>
                <w:szCs w:val="18"/>
              </w:rPr>
            </w:pPr>
            <w:r w:rsidRPr="000D0DA8">
              <w:rPr>
                <w:b/>
                <w:bCs/>
                <w:sz w:val="18"/>
                <w:szCs w:val="18"/>
              </w:rPr>
              <w:t>Type d'essai</w:t>
            </w:r>
          </w:p>
        </w:tc>
        <w:tc>
          <w:tcPr>
            <w:tcW w:w="709" w:type="dxa"/>
          </w:tcPr>
          <w:p w:rsidR="009C4907" w:rsidRPr="000D0DA8" w:rsidRDefault="009C4907" w:rsidP="00402BBF">
            <w:pPr>
              <w:spacing w:after="200" w:line="276" w:lineRule="auto"/>
              <w:rPr>
                <w:sz w:val="18"/>
                <w:szCs w:val="18"/>
              </w:rPr>
            </w:pPr>
            <w:r w:rsidRPr="000D0DA8">
              <w:rPr>
                <w:b/>
                <w:bCs/>
                <w:sz w:val="18"/>
                <w:szCs w:val="18"/>
              </w:rPr>
              <w:t>Durée de l'essai</w:t>
            </w:r>
          </w:p>
        </w:tc>
        <w:tc>
          <w:tcPr>
            <w:tcW w:w="709" w:type="dxa"/>
          </w:tcPr>
          <w:p w:rsidR="009C4907" w:rsidRPr="000D0DA8" w:rsidRDefault="009C4907" w:rsidP="00402BBF">
            <w:pPr>
              <w:spacing w:after="200" w:line="276" w:lineRule="auto"/>
              <w:rPr>
                <w:sz w:val="18"/>
                <w:szCs w:val="18"/>
              </w:rPr>
            </w:pPr>
            <w:r w:rsidRPr="000D0DA8">
              <w:rPr>
                <w:b/>
                <w:bCs/>
                <w:sz w:val="18"/>
                <w:szCs w:val="18"/>
              </w:rPr>
              <w:t>Nombre de patients PD</w:t>
            </w:r>
          </w:p>
        </w:tc>
        <w:tc>
          <w:tcPr>
            <w:tcW w:w="850" w:type="dxa"/>
          </w:tcPr>
          <w:p w:rsidR="009C4907" w:rsidRPr="000D0DA8" w:rsidRDefault="009C4907" w:rsidP="00402BBF">
            <w:pPr>
              <w:spacing w:after="200" w:line="276" w:lineRule="auto"/>
              <w:rPr>
                <w:sz w:val="18"/>
                <w:szCs w:val="18"/>
              </w:rPr>
            </w:pPr>
            <w:r w:rsidRPr="000D0DA8">
              <w:rPr>
                <w:b/>
                <w:bCs/>
                <w:sz w:val="18"/>
                <w:szCs w:val="18"/>
              </w:rPr>
              <w:t>Dosage</w:t>
            </w:r>
          </w:p>
        </w:tc>
        <w:tc>
          <w:tcPr>
            <w:tcW w:w="2835" w:type="dxa"/>
          </w:tcPr>
          <w:p w:rsidR="009C4907" w:rsidRPr="000D0DA8" w:rsidRDefault="009C4907" w:rsidP="00402BBF">
            <w:pPr>
              <w:spacing w:after="200" w:line="276" w:lineRule="auto"/>
              <w:rPr>
                <w:sz w:val="18"/>
                <w:szCs w:val="18"/>
              </w:rPr>
            </w:pPr>
            <w:r w:rsidRPr="000D0DA8">
              <w:rPr>
                <w:b/>
                <w:bCs/>
                <w:sz w:val="18"/>
                <w:szCs w:val="18"/>
              </w:rPr>
              <w:t>Résultat</w:t>
            </w:r>
          </w:p>
        </w:tc>
        <w:tc>
          <w:tcPr>
            <w:tcW w:w="3402" w:type="dxa"/>
          </w:tcPr>
          <w:p w:rsidR="009C4907" w:rsidRPr="000D0DA8" w:rsidRDefault="009C4907" w:rsidP="00402BBF">
            <w:pPr>
              <w:spacing w:after="200" w:line="276" w:lineRule="auto"/>
              <w:rPr>
                <w:sz w:val="18"/>
                <w:szCs w:val="18"/>
              </w:rPr>
            </w:pPr>
            <w:r w:rsidRPr="000D0DA8">
              <w:rPr>
                <w:b/>
                <w:bCs/>
                <w:sz w:val="18"/>
                <w:szCs w:val="18"/>
              </w:rPr>
              <w:t>Commentaires</w:t>
            </w:r>
          </w:p>
        </w:tc>
      </w:tr>
      <w:tr w:rsidR="00E91FB6" w:rsidTr="0061014E">
        <w:tc>
          <w:tcPr>
            <w:tcW w:w="943" w:type="dxa"/>
          </w:tcPr>
          <w:p w:rsidR="009C4907" w:rsidRPr="000D0DA8" w:rsidRDefault="009C4907" w:rsidP="00402BBF">
            <w:pPr>
              <w:spacing w:after="200" w:line="276" w:lineRule="auto"/>
              <w:rPr>
                <w:sz w:val="18"/>
                <w:szCs w:val="18"/>
              </w:rPr>
            </w:pPr>
            <w:r w:rsidRPr="000D0DA8">
              <w:rPr>
                <w:sz w:val="18"/>
                <w:szCs w:val="18"/>
              </w:rPr>
              <w:t xml:space="preserve">Hoge </w:t>
            </w:r>
            <w:r w:rsidRPr="000D0DA8">
              <w:rPr>
                <w:i/>
                <w:iCs/>
                <w:sz w:val="18"/>
                <w:szCs w:val="18"/>
              </w:rPr>
              <w:t>et al.</w:t>
            </w:r>
          </w:p>
        </w:tc>
        <w:tc>
          <w:tcPr>
            <w:tcW w:w="1042" w:type="dxa"/>
          </w:tcPr>
          <w:p w:rsidR="009C4907" w:rsidRPr="000D0DA8" w:rsidRDefault="009C4907" w:rsidP="00402BBF">
            <w:pPr>
              <w:spacing w:after="200" w:line="276" w:lineRule="auto"/>
              <w:rPr>
                <w:sz w:val="18"/>
                <w:szCs w:val="18"/>
              </w:rPr>
            </w:pPr>
            <w:r w:rsidRPr="000D0DA8">
              <w:rPr>
                <w:sz w:val="18"/>
                <w:szCs w:val="18"/>
              </w:rPr>
              <w:t>Aripiprazole</w:t>
            </w:r>
          </w:p>
        </w:tc>
        <w:tc>
          <w:tcPr>
            <w:tcW w:w="850" w:type="dxa"/>
          </w:tcPr>
          <w:p w:rsidR="009C4907" w:rsidRPr="000D0DA8" w:rsidRDefault="009C4907" w:rsidP="00402BBF">
            <w:pPr>
              <w:spacing w:after="200" w:line="276" w:lineRule="auto"/>
              <w:rPr>
                <w:sz w:val="18"/>
                <w:szCs w:val="18"/>
              </w:rPr>
            </w:pPr>
            <w:r w:rsidRPr="000D0DA8">
              <w:rPr>
                <w:sz w:val="18"/>
                <w:szCs w:val="18"/>
              </w:rPr>
              <w:t>En ouvert</w:t>
            </w:r>
          </w:p>
        </w:tc>
        <w:tc>
          <w:tcPr>
            <w:tcW w:w="709" w:type="dxa"/>
          </w:tcPr>
          <w:p w:rsidR="009C4907" w:rsidRPr="000D0DA8" w:rsidRDefault="009C4907" w:rsidP="00402BBF">
            <w:pPr>
              <w:spacing w:after="200" w:line="276" w:lineRule="auto"/>
              <w:rPr>
                <w:sz w:val="18"/>
                <w:szCs w:val="18"/>
              </w:rPr>
            </w:pPr>
            <w:r w:rsidRPr="000D0DA8">
              <w:rPr>
                <w:sz w:val="18"/>
                <w:szCs w:val="18"/>
              </w:rPr>
              <w:t>8 semaines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10</w:t>
            </w:r>
          </w:p>
        </w:tc>
        <w:tc>
          <w:tcPr>
            <w:tcW w:w="850" w:type="dxa"/>
          </w:tcPr>
          <w:p w:rsidR="009C4907" w:rsidRPr="000D0DA8" w:rsidRDefault="009C4907" w:rsidP="00402BBF">
            <w:pPr>
              <w:spacing w:after="200" w:line="276" w:lineRule="auto"/>
              <w:rPr>
                <w:sz w:val="18"/>
                <w:szCs w:val="18"/>
                <w:lang w:val="en-US"/>
              </w:rPr>
            </w:pPr>
            <w:r w:rsidRPr="000D0DA8">
              <w:rPr>
                <w:sz w:val="18"/>
                <w:szCs w:val="18"/>
              </w:rPr>
              <w:t>Posologie moyenne = 10,5 } 4,95 mg/jour</w:t>
            </w:r>
          </w:p>
        </w:tc>
        <w:tc>
          <w:tcPr>
            <w:tcW w:w="2835" w:type="dxa"/>
          </w:tcPr>
          <w:p w:rsidR="009C4907" w:rsidRPr="000D0DA8" w:rsidRDefault="009C4907" w:rsidP="00402BBF">
            <w:pPr>
              <w:spacing w:after="200" w:line="276" w:lineRule="auto"/>
              <w:rPr>
                <w:sz w:val="18"/>
                <w:szCs w:val="18"/>
              </w:rPr>
            </w:pPr>
            <w:r w:rsidRPr="000D0DA8">
              <w:rPr>
                <w:sz w:val="18"/>
                <w:szCs w:val="18"/>
              </w:rPr>
              <w:t>Améliorations significatives concernant la panique, l'anxiété, la dépression et la présentation clinique générale.</w:t>
            </w:r>
          </w:p>
        </w:tc>
        <w:tc>
          <w:tcPr>
            <w:tcW w:w="3402" w:type="dxa"/>
          </w:tcPr>
          <w:p w:rsidR="009C4907" w:rsidRPr="000D0DA8" w:rsidRDefault="009C4907" w:rsidP="00402BBF">
            <w:pPr>
              <w:spacing w:after="200" w:line="276" w:lineRule="auto"/>
              <w:rPr>
                <w:sz w:val="18"/>
                <w:szCs w:val="18"/>
              </w:rPr>
            </w:pPr>
            <w:r w:rsidRPr="000D0DA8">
              <w:rPr>
                <w:sz w:val="18"/>
                <w:szCs w:val="18"/>
              </w:rPr>
              <w:t xml:space="preserve">Augmentation de la résistance au traitement. Jusqu'à 30 % des patients ont interrompu prématurément le traitement. </w:t>
            </w:r>
            <w:r w:rsidRPr="000D0DA8">
              <w:rPr>
                <w:sz w:val="18"/>
                <w:szCs w:val="18"/>
                <w:lang w:val="en-US"/>
              </w:rPr>
              <w:t>Effets indésirables : sédation, fatigue, insomnie, agitation, dyspepsie, nausées.</w:t>
            </w:r>
          </w:p>
        </w:tc>
      </w:tr>
      <w:tr w:rsidR="00E91FB6" w:rsidTr="0061014E">
        <w:tc>
          <w:tcPr>
            <w:tcW w:w="943" w:type="dxa"/>
          </w:tcPr>
          <w:p w:rsidR="009C4907" w:rsidRPr="000D0DA8" w:rsidRDefault="009C4907" w:rsidP="00402BBF">
            <w:pPr>
              <w:spacing w:after="200" w:line="276" w:lineRule="auto"/>
              <w:rPr>
                <w:sz w:val="18"/>
                <w:szCs w:val="18"/>
                <w:lang w:val="en-US"/>
              </w:rPr>
            </w:pPr>
            <w:r w:rsidRPr="000D0DA8">
              <w:rPr>
                <w:sz w:val="18"/>
                <w:szCs w:val="18"/>
              </w:rPr>
              <w:t xml:space="preserve">Harada </w:t>
            </w:r>
            <w:r w:rsidRPr="000D0DA8">
              <w:rPr>
                <w:i/>
                <w:iCs/>
                <w:sz w:val="18"/>
                <w:szCs w:val="18"/>
              </w:rPr>
              <w:t>et al.</w:t>
            </w:r>
          </w:p>
        </w:tc>
        <w:tc>
          <w:tcPr>
            <w:tcW w:w="1042" w:type="dxa"/>
          </w:tcPr>
          <w:p w:rsidR="009C4907" w:rsidRPr="000D0DA8" w:rsidRDefault="009C4907" w:rsidP="00402BBF">
            <w:pPr>
              <w:spacing w:after="200" w:line="276" w:lineRule="auto"/>
              <w:rPr>
                <w:sz w:val="18"/>
                <w:szCs w:val="18"/>
                <w:lang w:val="en-US"/>
              </w:rPr>
            </w:pPr>
            <w:r w:rsidRPr="000D0DA8">
              <w:rPr>
                <w:sz w:val="18"/>
                <w:szCs w:val="18"/>
              </w:rPr>
              <w:t>Aripiprazole</w:t>
            </w:r>
          </w:p>
        </w:tc>
        <w:tc>
          <w:tcPr>
            <w:tcW w:w="850" w:type="dxa"/>
          </w:tcPr>
          <w:p w:rsidR="009C4907" w:rsidRPr="000D0DA8" w:rsidRDefault="009C4907" w:rsidP="00402BBF">
            <w:pPr>
              <w:spacing w:after="200" w:line="276" w:lineRule="auto"/>
              <w:rPr>
                <w:sz w:val="18"/>
                <w:szCs w:val="18"/>
                <w:lang w:val="en-US"/>
              </w:rPr>
            </w:pPr>
            <w:r w:rsidRPr="000D0DA8">
              <w:rPr>
                <w:sz w:val="18"/>
                <w:szCs w:val="18"/>
              </w:rPr>
              <w:t>Rapport d'étude de cas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 xml:space="preserve">4 </w:t>
            </w:r>
            <w:r w:rsidRPr="000D0DA8">
              <w:rPr>
                <w:sz w:val="18"/>
                <w:szCs w:val="18"/>
              </w:rPr>
              <w:t>semaines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1</w:t>
            </w:r>
          </w:p>
        </w:tc>
        <w:tc>
          <w:tcPr>
            <w:tcW w:w="850" w:type="dxa"/>
          </w:tcPr>
          <w:p w:rsidR="009C4907" w:rsidRPr="000D0DA8" w:rsidRDefault="009C4907" w:rsidP="00402BBF">
            <w:pPr>
              <w:spacing w:after="200" w:line="276" w:lineRule="auto"/>
              <w:rPr>
                <w:sz w:val="18"/>
                <w:szCs w:val="18"/>
                <w:lang w:val="en-US"/>
              </w:rPr>
            </w:pPr>
            <w:r w:rsidRPr="000D0DA8">
              <w:rPr>
                <w:sz w:val="18"/>
                <w:szCs w:val="18"/>
              </w:rPr>
              <w:t>6 mg/jour</w:t>
            </w:r>
          </w:p>
        </w:tc>
        <w:tc>
          <w:tcPr>
            <w:tcW w:w="2835" w:type="dxa"/>
          </w:tcPr>
          <w:p w:rsidR="009C4907" w:rsidRPr="000D0DA8" w:rsidRDefault="009C4907" w:rsidP="00402BBF">
            <w:pPr>
              <w:spacing w:after="200" w:line="276" w:lineRule="auto"/>
              <w:rPr>
                <w:sz w:val="18"/>
                <w:szCs w:val="18"/>
              </w:rPr>
            </w:pPr>
            <w:r w:rsidRPr="000D0DA8">
              <w:rPr>
                <w:sz w:val="18"/>
                <w:szCs w:val="18"/>
              </w:rPr>
              <w:t>Amélioration rapide et marquée - maintenue pendant l'essai - à la fois des symptômes résiduels de panique et de l'agoraphobie résistante à la paroxétine.</w:t>
            </w:r>
          </w:p>
        </w:tc>
        <w:tc>
          <w:tcPr>
            <w:tcW w:w="3402" w:type="dxa"/>
          </w:tcPr>
          <w:p w:rsidR="009C4907" w:rsidRPr="000D0DA8" w:rsidRDefault="009C4907" w:rsidP="00402BBF">
            <w:pPr>
              <w:spacing w:after="200" w:line="276" w:lineRule="auto"/>
              <w:rPr>
                <w:sz w:val="18"/>
                <w:szCs w:val="18"/>
                <w:lang w:val="en-US"/>
              </w:rPr>
            </w:pPr>
            <w:r w:rsidRPr="000D0DA8">
              <w:rPr>
                <w:sz w:val="18"/>
                <w:szCs w:val="18"/>
              </w:rPr>
              <w:t xml:space="preserve">Augmentation par l'aripiprazole (6 mg/jour ; pas de titration) d'un traitement de 4 mois par la paroxétine (40 mg/jour : avant et pendant l'essai). </w:t>
            </w:r>
            <w:r w:rsidRPr="000D0DA8">
              <w:rPr>
                <w:sz w:val="18"/>
                <w:szCs w:val="18"/>
                <w:lang w:val="en-US"/>
              </w:rPr>
              <w:t>Aucun événement indésirable grave.</w:t>
            </w:r>
          </w:p>
        </w:tc>
      </w:tr>
      <w:tr w:rsidR="00E91FB6" w:rsidTr="0061014E">
        <w:tc>
          <w:tcPr>
            <w:tcW w:w="943" w:type="dxa"/>
          </w:tcPr>
          <w:p w:rsidR="009C4907" w:rsidRPr="000D0DA8" w:rsidRDefault="009C4907" w:rsidP="00402BBF">
            <w:pPr>
              <w:spacing w:after="200" w:line="276" w:lineRule="auto"/>
              <w:rPr>
                <w:sz w:val="18"/>
                <w:szCs w:val="18"/>
                <w:lang w:val="en-US"/>
              </w:rPr>
            </w:pPr>
            <w:r w:rsidRPr="000D0DA8">
              <w:rPr>
                <w:sz w:val="18"/>
                <w:szCs w:val="18"/>
              </w:rPr>
              <w:t>Lai</w:t>
            </w:r>
          </w:p>
        </w:tc>
        <w:tc>
          <w:tcPr>
            <w:tcW w:w="1042" w:type="dxa"/>
          </w:tcPr>
          <w:p w:rsidR="009C4907" w:rsidRPr="000D0DA8" w:rsidRDefault="009C4907" w:rsidP="00402BBF">
            <w:pPr>
              <w:spacing w:after="200" w:line="276" w:lineRule="auto"/>
              <w:rPr>
                <w:sz w:val="18"/>
                <w:szCs w:val="18"/>
                <w:lang w:val="en-US"/>
              </w:rPr>
            </w:pPr>
            <w:r w:rsidRPr="000D0DA8">
              <w:rPr>
                <w:sz w:val="18"/>
                <w:szCs w:val="18"/>
              </w:rPr>
              <w:t>Aripiprazole</w:t>
            </w:r>
          </w:p>
        </w:tc>
        <w:tc>
          <w:tcPr>
            <w:tcW w:w="850" w:type="dxa"/>
          </w:tcPr>
          <w:p w:rsidR="009C4907" w:rsidRPr="000D0DA8" w:rsidRDefault="009C4907" w:rsidP="00402BBF">
            <w:pPr>
              <w:spacing w:after="200" w:line="276" w:lineRule="auto"/>
              <w:rPr>
                <w:sz w:val="18"/>
                <w:szCs w:val="18"/>
                <w:lang w:val="en-US"/>
              </w:rPr>
            </w:pPr>
            <w:r w:rsidRPr="000D0DA8">
              <w:rPr>
                <w:sz w:val="18"/>
                <w:szCs w:val="18"/>
              </w:rPr>
              <w:t>Rapport d'étude de cas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 xml:space="preserve">6 </w:t>
            </w:r>
            <w:r w:rsidR="00E91FB6" w:rsidRPr="000D0DA8">
              <w:rPr>
                <w:sz w:val="18"/>
                <w:szCs w:val="18"/>
                <w:lang w:val="en-US"/>
              </w:rPr>
              <w:t xml:space="preserve"> </w:t>
            </w:r>
            <w:r w:rsidRPr="000D0DA8">
              <w:rPr>
                <w:sz w:val="18"/>
                <w:szCs w:val="18"/>
              </w:rPr>
              <w:t>semaines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1</w:t>
            </w:r>
          </w:p>
        </w:tc>
        <w:tc>
          <w:tcPr>
            <w:tcW w:w="850" w:type="dxa"/>
          </w:tcPr>
          <w:p w:rsidR="009C4907" w:rsidRPr="000D0DA8" w:rsidRDefault="009C4907" w:rsidP="00402BBF">
            <w:pPr>
              <w:spacing w:after="200" w:line="276" w:lineRule="auto"/>
              <w:rPr>
                <w:sz w:val="18"/>
                <w:szCs w:val="18"/>
                <w:lang w:val="en-US"/>
              </w:rPr>
            </w:pPr>
            <w:r w:rsidRPr="000D0DA8">
              <w:rPr>
                <w:sz w:val="18"/>
                <w:szCs w:val="18"/>
              </w:rPr>
              <w:t>10 mg/jour</w:t>
            </w:r>
          </w:p>
        </w:tc>
        <w:tc>
          <w:tcPr>
            <w:tcW w:w="2835" w:type="dxa"/>
          </w:tcPr>
          <w:p w:rsidR="009C4907" w:rsidRPr="000D0DA8" w:rsidRDefault="009C4907" w:rsidP="00402BBF">
            <w:pPr>
              <w:spacing w:after="200" w:line="276" w:lineRule="auto"/>
              <w:rPr>
                <w:sz w:val="18"/>
                <w:szCs w:val="18"/>
              </w:rPr>
            </w:pPr>
            <w:r w:rsidRPr="000D0DA8">
              <w:rPr>
                <w:sz w:val="18"/>
                <w:szCs w:val="18"/>
              </w:rPr>
              <w:t>Réduction significative de la panique et de la dépression comorbide.</w:t>
            </w:r>
          </w:p>
        </w:tc>
        <w:tc>
          <w:tcPr>
            <w:tcW w:w="3402" w:type="dxa"/>
          </w:tcPr>
          <w:p w:rsidR="009C4907" w:rsidRPr="000D0DA8" w:rsidRDefault="009C4907" w:rsidP="00402BBF">
            <w:pPr>
              <w:spacing w:after="200" w:line="276" w:lineRule="auto"/>
              <w:rPr>
                <w:sz w:val="18"/>
                <w:szCs w:val="18"/>
              </w:rPr>
            </w:pPr>
            <w:r w:rsidRPr="000D0DA8">
              <w:rPr>
                <w:sz w:val="18"/>
                <w:szCs w:val="18"/>
              </w:rPr>
              <w:t>Aripiprazole en monothérapie. Passage brutal d'un traitement de 4 mois par escitalopram (20 mg/jour) à l'aripiprazole 5 mg/jour, titré à 10 mg/jour en 2 semaines. IRM : croissance de la matière grise et augmentation du volume cérébral.</w:t>
            </w:r>
          </w:p>
        </w:tc>
      </w:tr>
      <w:tr w:rsidR="00E91FB6" w:rsidTr="0061014E">
        <w:tc>
          <w:tcPr>
            <w:tcW w:w="943" w:type="dxa"/>
          </w:tcPr>
          <w:p w:rsidR="009C4907" w:rsidRPr="000D0DA8" w:rsidRDefault="009C4907" w:rsidP="00402BBF">
            <w:pPr>
              <w:spacing w:after="200" w:line="276" w:lineRule="auto"/>
              <w:rPr>
                <w:sz w:val="18"/>
                <w:szCs w:val="18"/>
                <w:lang w:val="en-US"/>
              </w:rPr>
            </w:pPr>
            <w:r w:rsidRPr="000D0DA8">
              <w:rPr>
                <w:sz w:val="18"/>
                <w:szCs w:val="18"/>
              </w:rPr>
              <w:t xml:space="preserve">Etxebeste </w:t>
            </w:r>
            <w:r w:rsidRPr="000D0DA8">
              <w:rPr>
                <w:i/>
                <w:iCs/>
                <w:sz w:val="18"/>
                <w:szCs w:val="18"/>
              </w:rPr>
              <w:t>et al.</w:t>
            </w:r>
          </w:p>
        </w:tc>
        <w:tc>
          <w:tcPr>
            <w:tcW w:w="1042" w:type="dxa"/>
          </w:tcPr>
          <w:p w:rsidR="009C4907" w:rsidRPr="000D0DA8" w:rsidRDefault="009C4907" w:rsidP="00402BBF">
            <w:pPr>
              <w:spacing w:after="200" w:line="276" w:lineRule="auto"/>
              <w:rPr>
                <w:sz w:val="18"/>
                <w:szCs w:val="18"/>
                <w:lang w:val="en-US"/>
              </w:rPr>
            </w:pPr>
            <w:r w:rsidRPr="000D0DA8">
              <w:rPr>
                <w:sz w:val="18"/>
                <w:szCs w:val="18"/>
              </w:rPr>
              <w:t>Olanzapine</w:t>
            </w:r>
          </w:p>
        </w:tc>
        <w:tc>
          <w:tcPr>
            <w:tcW w:w="850" w:type="dxa"/>
          </w:tcPr>
          <w:p w:rsidR="009C4907" w:rsidRPr="000D0DA8" w:rsidRDefault="009C4907" w:rsidP="00402BBF">
            <w:pPr>
              <w:spacing w:after="200" w:line="276" w:lineRule="auto"/>
              <w:rPr>
                <w:sz w:val="18"/>
                <w:szCs w:val="18"/>
                <w:lang w:val="en-US"/>
              </w:rPr>
            </w:pPr>
            <w:r w:rsidRPr="000D0DA8">
              <w:rPr>
                <w:sz w:val="18"/>
                <w:szCs w:val="18"/>
              </w:rPr>
              <w:t>Rapport d'étude de cas</w:t>
            </w:r>
          </w:p>
        </w:tc>
        <w:tc>
          <w:tcPr>
            <w:tcW w:w="709" w:type="dxa"/>
          </w:tcPr>
          <w:p w:rsidR="009C4907" w:rsidRPr="000D0DA8" w:rsidRDefault="009C4907" w:rsidP="00402BBF">
            <w:pPr>
              <w:spacing w:after="200" w:line="276" w:lineRule="auto"/>
              <w:rPr>
                <w:sz w:val="18"/>
                <w:szCs w:val="18"/>
                <w:lang w:val="en-US"/>
              </w:rPr>
            </w:pPr>
            <w:r w:rsidRPr="000D0DA8">
              <w:rPr>
                <w:sz w:val="18"/>
                <w:szCs w:val="18"/>
              </w:rPr>
              <w:t>4 et 2,5 mois respectivement</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2</w:t>
            </w:r>
          </w:p>
        </w:tc>
        <w:tc>
          <w:tcPr>
            <w:tcW w:w="850" w:type="dxa"/>
          </w:tcPr>
          <w:p w:rsidR="009C4907" w:rsidRPr="000D0DA8" w:rsidRDefault="009C4907" w:rsidP="00402BBF">
            <w:pPr>
              <w:spacing w:after="200" w:line="276" w:lineRule="auto"/>
              <w:rPr>
                <w:sz w:val="18"/>
                <w:szCs w:val="18"/>
              </w:rPr>
            </w:pPr>
            <w:r w:rsidRPr="000D0DA8">
              <w:rPr>
                <w:sz w:val="18"/>
                <w:szCs w:val="18"/>
              </w:rPr>
              <w:t>12,5 mg/jour et 10 mg/jour respectivement.</w:t>
            </w:r>
          </w:p>
        </w:tc>
        <w:tc>
          <w:tcPr>
            <w:tcW w:w="2835" w:type="dxa"/>
          </w:tcPr>
          <w:p w:rsidR="009C4907" w:rsidRPr="000D0DA8" w:rsidRDefault="009C4907" w:rsidP="00402BBF">
            <w:pPr>
              <w:spacing w:after="200" w:line="276" w:lineRule="auto"/>
              <w:rPr>
                <w:sz w:val="18"/>
                <w:szCs w:val="18"/>
              </w:rPr>
            </w:pPr>
            <w:r w:rsidRPr="000D0DA8">
              <w:rPr>
                <w:sz w:val="18"/>
                <w:szCs w:val="18"/>
              </w:rPr>
              <w:t>Réduction significative de la panique et de l'agoraphobie.</w:t>
            </w:r>
          </w:p>
        </w:tc>
        <w:tc>
          <w:tcPr>
            <w:tcW w:w="3402" w:type="dxa"/>
          </w:tcPr>
          <w:p w:rsidR="009C4907" w:rsidRPr="000D0DA8" w:rsidRDefault="009C4907" w:rsidP="00402BBF">
            <w:pPr>
              <w:spacing w:after="200" w:line="276" w:lineRule="auto"/>
              <w:rPr>
                <w:sz w:val="18"/>
                <w:szCs w:val="18"/>
              </w:rPr>
            </w:pPr>
            <w:r w:rsidRPr="000D0DA8">
              <w:rPr>
                <w:sz w:val="18"/>
                <w:szCs w:val="18"/>
              </w:rPr>
              <w:t>Augmentation chez les patients résistants à la pharmacothérapie. Le patient 1 a été hospitalisé pour "pensées suicidaires" peu avant l'essai. L'olanzapine (titrée à 12,5 mg/jour après 2 semaines) a remplacé la perphénazine. Pendant l'essai, la néfazodone a remplacé la venlafaxine et deux benzodiazépines ont été arrêtées. Le patient 2 a reçu de l'olanzapine en augmentation d'une combinaison amitriptyline-diazépam de 5 mois (les deux ont été réduits pendant l'essai d'augmentation).</w:t>
            </w:r>
          </w:p>
        </w:tc>
      </w:tr>
      <w:tr w:rsidR="00E91FB6" w:rsidTr="0061014E">
        <w:tc>
          <w:tcPr>
            <w:tcW w:w="943" w:type="dxa"/>
          </w:tcPr>
          <w:p w:rsidR="009C4907" w:rsidRPr="000D0DA8" w:rsidRDefault="009C4907" w:rsidP="00402BBF">
            <w:pPr>
              <w:spacing w:after="200" w:line="276" w:lineRule="auto"/>
              <w:rPr>
                <w:sz w:val="18"/>
                <w:szCs w:val="18"/>
                <w:lang w:val="en-US"/>
              </w:rPr>
            </w:pPr>
            <w:r w:rsidRPr="000D0DA8">
              <w:rPr>
                <w:sz w:val="18"/>
                <w:szCs w:val="18"/>
              </w:rPr>
              <w:t xml:space="preserve">Khaldi </w:t>
            </w:r>
            <w:r w:rsidRPr="000D0DA8">
              <w:rPr>
                <w:i/>
                <w:iCs/>
                <w:sz w:val="18"/>
                <w:szCs w:val="18"/>
              </w:rPr>
              <w:t>et al.</w:t>
            </w:r>
          </w:p>
        </w:tc>
        <w:tc>
          <w:tcPr>
            <w:tcW w:w="1042" w:type="dxa"/>
          </w:tcPr>
          <w:p w:rsidR="009C4907" w:rsidRPr="000D0DA8" w:rsidRDefault="009C4907" w:rsidP="00402BBF">
            <w:pPr>
              <w:spacing w:after="200" w:line="276" w:lineRule="auto"/>
              <w:rPr>
                <w:sz w:val="18"/>
                <w:szCs w:val="18"/>
                <w:lang w:val="en-US"/>
              </w:rPr>
            </w:pPr>
            <w:r w:rsidRPr="000D0DA8">
              <w:rPr>
                <w:sz w:val="18"/>
                <w:szCs w:val="18"/>
              </w:rPr>
              <w:t>Olanzapine</w:t>
            </w:r>
          </w:p>
        </w:tc>
        <w:tc>
          <w:tcPr>
            <w:tcW w:w="850" w:type="dxa"/>
          </w:tcPr>
          <w:p w:rsidR="009C4907" w:rsidRPr="000D0DA8" w:rsidRDefault="009C4907" w:rsidP="00402BBF">
            <w:pPr>
              <w:spacing w:after="200" w:line="276" w:lineRule="auto"/>
              <w:rPr>
                <w:sz w:val="18"/>
                <w:szCs w:val="18"/>
                <w:lang w:val="en-US"/>
              </w:rPr>
            </w:pPr>
            <w:r w:rsidRPr="000D0DA8">
              <w:rPr>
                <w:sz w:val="18"/>
                <w:szCs w:val="18"/>
              </w:rPr>
              <w:t>Rapport d'étude de cas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2</w:t>
            </w:r>
          </w:p>
        </w:tc>
        <w:tc>
          <w:tcPr>
            <w:tcW w:w="850" w:type="dxa"/>
          </w:tcPr>
          <w:p w:rsidR="009C4907" w:rsidRPr="000D0DA8" w:rsidRDefault="009C4907" w:rsidP="00402BBF">
            <w:pPr>
              <w:spacing w:after="200" w:line="276" w:lineRule="auto"/>
              <w:rPr>
                <w:sz w:val="18"/>
                <w:szCs w:val="18"/>
                <w:lang w:val="en-US"/>
              </w:rPr>
            </w:pPr>
            <w:r w:rsidRPr="000D0DA8">
              <w:rPr>
                <w:sz w:val="18"/>
                <w:szCs w:val="18"/>
              </w:rPr>
              <w:t>5 mg/jour</w:t>
            </w:r>
          </w:p>
        </w:tc>
        <w:tc>
          <w:tcPr>
            <w:tcW w:w="2835" w:type="dxa"/>
          </w:tcPr>
          <w:p w:rsidR="009C4907" w:rsidRPr="000D0DA8" w:rsidRDefault="009C4907" w:rsidP="00402BBF">
            <w:pPr>
              <w:spacing w:after="200" w:line="276" w:lineRule="auto"/>
              <w:rPr>
                <w:sz w:val="18"/>
                <w:szCs w:val="18"/>
              </w:rPr>
            </w:pPr>
            <w:r w:rsidRPr="000D0DA8">
              <w:rPr>
                <w:sz w:val="18"/>
                <w:szCs w:val="18"/>
              </w:rPr>
              <w:t>Réduction rapide de la panique.</w:t>
            </w:r>
          </w:p>
        </w:tc>
        <w:tc>
          <w:tcPr>
            <w:tcW w:w="3402" w:type="dxa"/>
          </w:tcPr>
          <w:p w:rsidR="009C4907" w:rsidRPr="000D0DA8" w:rsidRDefault="009C4907" w:rsidP="00402BBF">
            <w:pPr>
              <w:spacing w:after="200" w:line="276" w:lineRule="auto"/>
              <w:rPr>
                <w:sz w:val="18"/>
                <w:szCs w:val="18"/>
              </w:rPr>
            </w:pPr>
            <w:r w:rsidRPr="000D0DA8">
              <w:rPr>
                <w:sz w:val="18"/>
                <w:szCs w:val="18"/>
              </w:rPr>
              <w:t>Augmentation en cas de non-réponse à la paroxétine (40 mg/jour).</w:t>
            </w:r>
          </w:p>
        </w:tc>
      </w:tr>
      <w:tr w:rsidR="00E91FB6" w:rsidTr="0061014E">
        <w:tc>
          <w:tcPr>
            <w:tcW w:w="943" w:type="dxa"/>
          </w:tcPr>
          <w:p w:rsidR="009C4907" w:rsidRPr="000D0DA8" w:rsidRDefault="009C4907" w:rsidP="00402BBF">
            <w:pPr>
              <w:spacing w:after="200" w:line="276" w:lineRule="auto"/>
              <w:rPr>
                <w:sz w:val="18"/>
                <w:szCs w:val="18"/>
                <w:lang w:val="en-US"/>
              </w:rPr>
            </w:pPr>
            <w:r w:rsidRPr="000D0DA8">
              <w:rPr>
                <w:sz w:val="18"/>
                <w:szCs w:val="18"/>
              </w:rPr>
              <w:t>Chao</w:t>
            </w:r>
          </w:p>
        </w:tc>
        <w:tc>
          <w:tcPr>
            <w:tcW w:w="1042" w:type="dxa"/>
          </w:tcPr>
          <w:p w:rsidR="009C4907" w:rsidRPr="000D0DA8" w:rsidRDefault="009C4907" w:rsidP="00402BBF">
            <w:pPr>
              <w:spacing w:after="200" w:line="276" w:lineRule="auto"/>
              <w:rPr>
                <w:sz w:val="18"/>
                <w:szCs w:val="18"/>
                <w:lang w:val="en-US"/>
              </w:rPr>
            </w:pPr>
            <w:r w:rsidRPr="000D0DA8">
              <w:rPr>
                <w:sz w:val="18"/>
                <w:szCs w:val="18"/>
              </w:rPr>
              <w:t>Olanzapine</w:t>
            </w:r>
          </w:p>
        </w:tc>
        <w:tc>
          <w:tcPr>
            <w:tcW w:w="850" w:type="dxa"/>
          </w:tcPr>
          <w:p w:rsidR="009C4907" w:rsidRPr="000D0DA8" w:rsidRDefault="009C4907" w:rsidP="00402BBF">
            <w:pPr>
              <w:spacing w:after="200" w:line="276" w:lineRule="auto"/>
              <w:rPr>
                <w:sz w:val="18"/>
                <w:szCs w:val="18"/>
                <w:lang w:val="en-US"/>
              </w:rPr>
            </w:pPr>
            <w:r w:rsidRPr="000D0DA8">
              <w:rPr>
                <w:sz w:val="18"/>
                <w:szCs w:val="18"/>
              </w:rPr>
              <w:t>Rapport d'étude de cas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1</w:t>
            </w:r>
          </w:p>
        </w:tc>
        <w:tc>
          <w:tcPr>
            <w:tcW w:w="850" w:type="dxa"/>
          </w:tcPr>
          <w:p w:rsidR="009C4907" w:rsidRPr="000D0DA8" w:rsidRDefault="009C4907" w:rsidP="00402BBF">
            <w:pPr>
              <w:spacing w:after="200" w:line="276" w:lineRule="auto"/>
              <w:rPr>
                <w:sz w:val="18"/>
                <w:szCs w:val="18"/>
                <w:lang w:val="en-US"/>
              </w:rPr>
            </w:pPr>
            <w:r w:rsidRPr="000D0DA8">
              <w:rPr>
                <w:sz w:val="18"/>
                <w:szCs w:val="18"/>
                <w:lang w:val="en-US"/>
              </w:rPr>
              <w:t>-</w:t>
            </w:r>
          </w:p>
        </w:tc>
        <w:tc>
          <w:tcPr>
            <w:tcW w:w="2835" w:type="dxa"/>
          </w:tcPr>
          <w:p w:rsidR="009C4907" w:rsidRPr="000D0DA8" w:rsidRDefault="009C4907" w:rsidP="00402BBF">
            <w:pPr>
              <w:spacing w:after="200" w:line="276" w:lineRule="auto"/>
              <w:rPr>
                <w:sz w:val="18"/>
                <w:szCs w:val="18"/>
              </w:rPr>
            </w:pPr>
            <w:r w:rsidRPr="000D0DA8">
              <w:rPr>
                <w:sz w:val="18"/>
                <w:szCs w:val="18"/>
              </w:rPr>
              <w:t>Rémission complète des symptômes de panique</w:t>
            </w:r>
          </w:p>
        </w:tc>
        <w:tc>
          <w:tcPr>
            <w:tcW w:w="3402" w:type="dxa"/>
          </w:tcPr>
          <w:p w:rsidR="009C4907" w:rsidRPr="000D0DA8" w:rsidRDefault="009C4907" w:rsidP="00402BBF">
            <w:pPr>
              <w:spacing w:after="200" w:line="276" w:lineRule="auto"/>
              <w:rPr>
                <w:sz w:val="18"/>
                <w:szCs w:val="18"/>
              </w:rPr>
            </w:pPr>
            <w:r w:rsidRPr="000D0DA8">
              <w:rPr>
                <w:sz w:val="18"/>
                <w:szCs w:val="18"/>
              </w:rPr>
              <w:t>Augmentation de la paroxétine avec l'olanzapine</w:t>
            </w:r>
          </w:p>
        </w:tc>
      </w:tr>
      <w:tr w:rsidR="00E91FB6" w:rsidTr="0061014E">
        <w:tc>
          <w:tcPr>
            <w:tcW w:w="943" w:type="dxa"/>
          </w:tcPr>
          <w:p w:rsidR="009C4907" w:rsidRPr="000D0DA8" w:rsidRDefault="009C4907" w:rsidP="00E91FB6">
            <w:pPr>
              <w:spacing w:after="200" w:line="276" w:lineRule="auto"/>
              <w:rPr>
                <w:sz w:val="18"/>
                <w:szCs w:val="18"/>
              </w:rPr>
            </w:pPr>
            <w:r w:rsidRPr="000D0DA8">
              <w:rPr>
                <w:sz w:val="18"/>
                <w:szCs w:val="18"/>
              </w:rPr>
              <w:t xml:space="preserve">Hollifield </w:t>
            </w:r>
            <w:r w:rsidRPr="000D0DA8">
              <w:rPr>
                <w:i/>
                <w:iCs/>
                <w:sz w:val="18"/>
                <w:szCs w:val="18"/>
              </w:rPr>
              <w:t>et al.</w:t>
            </w:r>
          </w:p>
        </w:tc>
        <w:tc>
          <w:tcPr>
            <w:tcW w:w="1042" w:type="dxa"/>
          </w:tcPr>
          <w:p w:rsidR="009C4907" w:rsidRPr="000D0DA8" w:rsidRDefault="009C4907" w:rsidP="00402BBF">
            <w:pPr>
              <w:spacing w:after="200" w:line="276" w:lineRule="auto"/>
              <w:rPr>
                <w:sz w:val="18"/>
                <w:szCs w:val="18"/>
                <w:lang w:val="en-US"/>
              </w:rPr>
            </w:pPr>
            <w:r w:rsidRPr="000D0DA8">
              <w:rPr>
                <w:sz w:val="18"/>
                <w:szCs w:val="18"/>
              </w:rPr>
              <w:t>Olanzapine</w:t>
            </w:r>
          </w:p>
        </w:tc>
        <w:tc>
          <w:tcPr>
            <w:tcW w:w="850" w:type="dxa"/>
          </w:tcPr>
          <w:p w:rsidR="009C4907" w:rsidRPr="000D0DA8" w:rsidRDefault="009C4907" w:rsidP="00402BBF">
            <w:pPr>
              <w:spacing w:after="200" w:line="276" w:lineRule="auto"/>
              <w:rPr>
                <w:sz w:val="18"/>
                <w:szCs w:val="18"/>
                <w:lang w:val="en-US"/>
              </w:rPr>
            </w:pPr>
            <w:r w:rsidRPr="000D0DA8">
              <w:rPr>
                <w:sz w:val="18"/>
                <w:szCs w:val="18"/>
              </w:rPr>
              <w:t>En ouvert</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 xml:space="preserve">8 </w:t>
            </w:r>
            <w:r w:rsidRPr="000D0DA8">
              <w:rPr>
                <w:sz w:val="18"/>
                <w:szCs w:val="18"/>
              </w:rPr>
              <w:t>semaines</w:t>
            </w:r>
          </w:p>
        </w:tc>
        <w:tc>
          <w:tcPr>
            <w:tcW w:w="709" w:type="dxa"/>
          </w:tcPr>
          <w:p w:rsidR="009C4907" w:rsidRPr="000D0DA8" w:rsidRDefault="009C4907" w:rsidP="00402BBF">
            <w:pPr>
              <w:spacing w:after="200" w:line="276" w:lineRule="auto"/>
              <w:rPr>
                <w:sz w:val="18"/>
                <w:szCs w:val="18"/>
                <w:lang w:val="en-US"/>
              </w:rPr>
            </w:pPr>
            <w:r w:rsidRPr="000D0DA8">
              <w:rPr>
                <w:sz w:val="18"/>
                <w:szCs w:val="18"/>
                <w:lang w:val="en-US"/>
              </w:rPr>
              <w:t>10</w:t>
            </w:r>
          </w:p>
        </w:tc>
        <w:tc>
          <w:tcPr>
            <w:tcW w:w="850" w:type="dxa"/>
          </w:tcPr>
          <w:p w:rsidR="009C4907" w:rsidRPr="000D0DA8" w:rsidRDefault="009C4907" w:rsidP="00402BBF">
            <w:pPr>
              <w:spacing w:after="200" w:line="276" w:lineRule="auto"/>
              <w:rPr>
                <w:sz w:val="18"/>
                <w:szCs w:val="18"/>
                <w:lang w:val="en-US"/>
              </w:rPr>
            </w:pPr>
            <w:r w:rsidRPr="000D0DA8">
              <w:rPr>
                <w:sz w:val="18"/>
                <w:szCs w:val="18"/>
              </w:rPr>
              <w:t>Dose moyenne = 12,1 mg/jour</w:t>
            </w:r>
          </w:p>
        </w:tc>
        <w:tc>
          <w:tcPr>
            <w:tcW w:w="2835" w:type="dxa"/>
          </w:tcPr>
          <w:p w:rsidR="009C4907" w:rsidRPr="000D0DA8" w:rsidRDefault="009C4907" w:rsidP="00402BBF">
            <w:pPr>
              <w:spacing w:after="200" w:line="276" w:lineRule="auto"/>
              <w:rPr>
                <w:sz w:val="18"/>
                <w:szCs w:val="18"/>
              </w:rPr>
            </w:pPr>
            <w:r w:rsidRPr="000D0DA8">
              <w:rPr>
                <w:sz w:val="18"/>
                <w:szCs w:val="18"/>
              </w:rPr>
              <w:t>Réduction significative des attaques de panique et de l'anxiété anticipée (sans panique = 50 %).</w:t>
            </w:r>
          </w:p>
        </w:tc>
        <w:tc>
          <w:tcPr>
            <w:tcW w:w="3402" w:type="dxa"/>
          </w:tcPr>
          <w:p w:rsidR="009C4907" w:rsidRPr="000D0DA8" w:rsidRDefault="009C4907" w:rsidP="00402BBF">
            <w:pPr>
              <w:spacing w:after="200" w:line="276" w:lineRule="auto"/>
              <w:rPr>
                <w:sz w:val="18"/>
                <w:szCs w:val="18"/>
                <w:lang w:val="en-US"/>
              </w:rPr>
            </w:pPr>
            <w:r w:rsidRPr="000D0DA8">
              <w:rPr>
                <w:sz w:val="18"/>
                <w:szCs w:val="18"/>
              </w:rPr>
              <w:t xml:space="preserve">Augmentation en cas de résistance à la pharmacothérapie. Chez huit patients, les médicaments psychotropes ont été réduits progressivement sur une période de 2 à 5 semaines avant l'administration de l'olanzapine. Les médicaments restants pendant l'essai chez les deux autres patients ne sont pas rapportés. </w:t>
            </w:r>
            <w:r w:rsidRPr="000D0DA8">
              <w:rPr>
                <w:sz w:val="18"/>
                <w:szCs w:val="18"/>
                <w:lang w:val="en-US"/>
              </w:rPr>
              <w:t>Prise de poids = 0,18 } 4,4 kg.</w:t>
            </w:r>
            <w:r w:rsidR="00E91FB6" w:rsidRPr="000D0DA8">
              <w:rPr>
                <w:sz w:val="18"/>
                <w:szCs w:val="18"/>
                <w:lang w:val="en-US"/>
              </w:rPr>
              <w:t xml:space="preserve"> </w:t>
            </w:r>
          </w:p>
        </w:tc>
      </w:tr>
      <w:tr w:rsidR="009C4907" w:rsidTr="0061014E">
        <w:tc>
          <w:tcPr>
            <w:tcW w:w="943" w:type="dxa"/>
          </w:tcPr>
          <w:p w:rsidR="009C4907" w:rsidRPr="000D0DA8" w:rsidRDefault="009C4907" w:rsidP="00E91FB6">
            <w:pPr>
              <w:spacing w:after="200" w:line="276" w:lineRule="auto"/>
              <w:rPr>
                <w:sz w:val="18"/>
                <w:szCs w:val="18"/>
              </w:rPr>
            </w:pPr>
            <w:r w:rsidRPr="000D0DA8">
              <w:rPr>
                <w:sz w:val="18"/>
                <w:szCs w:val="18"/>
              </w:rPr>
              <w:lastRenderedPageBreak/>
              <w:t>Sepede</w:t>
            </w:r>
            <w:r w:rsidR="00E91FB6" w:rsidRPr="000D0DA8">
              <w:rPr>
                <w:sz w:val="18"/>
                <w:szCs w:val="18"/>
              </w:rPr>
              <w:t xml:space="preserve"> </w:t>
            </w:r>
            <w:r w:rsidRPr="000D0DA8">
              <w:rPr>
                <w:i/>
                <w:iCs/>
                <w:sz w:val="18"/>
                <w:szCs w:val="18"/>
              </w:rPr>
              <w:t>et al.</w:t>
            </w:r>
            <w:r w:rsidRPr="000D0DA8">
              <w:rPr>
                <w:sz w:val="18"/>
                <w:szCs w:val="18"/>
              </w:rPr>
              <w:t>112</w:t>
            </w:r>
          </w:p>
        </w:tc>
        <w:tc>
          <w:tcPr>
            <w:tcW w:w="1042" w:type="dxa"/>
          </w:tcPr>
          <w:p w:rsidR="009C4907" w:rsidRPr="000D0DA8" w:rsidRDefault="009C4907" w:rsidP="009C4907">
            <w:pPr>
              <w:spacing w:after="200" w:line="276" w:lineRule="auto"/>
              <w:rPr>
                <w:sz w:val="18"/>
                <w:szCs w:val="18"/>
              </w:rPr>
            </w:pPr>
            <w:r w:rsidRPr="000D0DA8">
              <w:rPr>
                <w:sz w:val="18"/>
                <w:szCs w:val="18"/>
              </w:rPr>
              <w:t>Olanzapine</w:t>
            </w:r>
          </w:p>
        </w:tc>
        <w:tc>
          <w:tcPr>
            <w:tcW w:w="850" w:type="dxa"/>
          </w:tcPr>
          <w:p w:rsidR="009C4907" w:rsidRPr="000D0DA8" w:rsidRDefault="009C4907" w:rsidP="009C4907">
            <w:pPr>
              <w:spacing w:after="200" w:line="276" w:lineRule="auto"/>
              <w:rPr>
                <w:sz w:val="18"/>
                <w:szCs w:val="18"/>
              </w:rPr>
            </w:pPr>
            <w:r w:rsidRPr="000D0DA8">
              <w:rPr>
                <w:sz w:val="18"/>
                <w:szCs w:val="18"/>
              </w:rPr>
              <w:t>En ouvert</w:t>
            </w:r>
          </w:p>
        </w:tc>
        <w:tc>
          <w:tcPr>
            <w:tcW w:w="709" w:type="dxa"/>
          </w:tcPr>
          <w:p w:rsidR="009C4907" w:rsidRPr="000D0DA8" w:rsidRDefault="009C4907" w:rsidP="009C4907">
            <w:pPr>
              <w:spacing w:after="200" w:line="276" w:lineRule="auto"/>
              <w:rPr>
                <w:sz w:val="18"/>
                <w:szCs w:val="18"/>
              </w:rPr>
            </w:pPr>
            <w:r w:rsidRPr="000D0DA8">
              <w:rPr>
                <w:sz w:val="18"/>
                <w:szCs w:val="18"/>
              </w:rPr>
              <w:t>12 semaines</w:t>
            </w:r>
          </w:p>
        </w:tc>
        <w:tc>
          <w:tcPr>
            <w:tcW w:w="709" w:type="dxa"/>
          </w:tcPr>
          <w:p w:rsidR="009C4907" w:rsidRPr="000D0DA8" w:rsidRDefault="009C4907" w:rsidP="009C4907">
            <w:pPr>
              <w:spacing w:after="200" w:line="276" w:lineRule="auto"/>
              <w:rPr>
                <w:sz w:val="18"/>
                <w:szCs w:val="18"/>
                <w:lang w:val="en-US"/>
              </w:rPr>
            </w:pPr>
            <w:r w:rsidRPr="000D0DA8">
              <w:rPr>
                <w:sz w:val="18"/>
                <w:szCs w:val="18"/>
                <w:lang w:val="en-US"/>
              </w:rPr>
              <w:t>26</w:t>
            </w:r>
          </w:p>
        </w:tc>
        <w:tc>
          <w:tcPr>
            <w:tcW w:w="850" w:type="dxa"/>
          </w:tcPr>
          <w:p w:rsidR="009C4907" w:rsidRPr="000D0DA8" w:rsidRDefault="009C4907" w:rsidP="009C4907">
            <w:pPr>
              <w:spacing w:after="200" w:line="276" w:lineRule="auto"/>
              <w:rPr>
                <w:sz w:val="18"/>
                <w:szCs w:val="18"/>
                <w:lang w:val="en-US"/>
              </w:rPr>
            </w:pPr>
            <w:r w:rsidRPr="000D0DA8">
              <w:rPr>
                <w:sz w:val="18"/>
                <w:szCs w:val="18"/>
              </w:rPr>
              <w:t>5 mg/jour</w:t>
            </w:r>
          </w:p>
        </w:tc>
        <w:tc>
          <w:tcPr>
            <w:tcW w:w="2835" w:type="dxa"/>
          </w:tcPr>
          <w:p w:rsidR="009C4907" w:rsidRPr="000D0DA8" w:rsidRDefault="009C4907" w:rsidP="00E91FB6">
            <w:pPr>
              <w:spacing w:after="200" w:line="276" w:lineRule="auto"/>
              <w:rPr>
                <w:sz w:val="18"/>
                <w:szCs w:val="18"/>
              </w:rPr>
            </w:pPr>
            <w:r w:rsidRPr="000D0DA8">
              <w:rPr>
                <w:sz w:val="18"/>
                <w:szCs w:val="18"/>
              </w:rPr>
              <w:t>Réponse = 81,8</w:t>
            </w:r>
            <w:r w:rsidR="00E91FB6" w:rsidRPr="000D0DA8">
              <w:rPr>
                <w:sz w:val="18"/>
                <w:szCs w:val="18"/>
              </w:rPr>
              <w:t xml:space="preserve">. </w:t>
            </w:r>
            <w:r w:rsidRPr="000D0DA8">
              <w:rPr>
                <w:sz w:val="18"/>
                <w:szCs w:val="18"/>
              </w:rPr>
              <w:t>Rémission = 57,7 %.</w:t>
            </w:r>
            <w:r w:rsidR="00E91FB6" w:rsidRPr="000D0DA8">
              <w:rPr>
                <w:sz w:val="18"/>
                <w:szCs w:val="18"/>
              </w:rPr>
              <w:t xml:space="preserve"> </w:t>
            </w:r>
            <w:r w:rsidRPr="000D0DA8">
              <w:rPr>
                <w:sz w:val="18"/>
                <w:szCs w:val="18"/>
              </w:rPr>
              <w:t xml:space="preserve">Réponse = CGI-I </w:t>
            </w:r>
            <w:r w:rsidRPr="000D0DA8">
              <w:rPr>
                <w:rFonts w:ascii="Cambria Math" w:hAnsi="Cambria Math" w:cs="Cambria Math"/>
                <w:sz w:val="18"/>
                <w:szCs w:val="18"/>
                <w:lang w:val="en-US"/>
              </w:rPr>
              <w:t>⩽</w:t>
            </w:r>
            <w:r w:rsidRPr="000D0DA8">
              <w:rPr>
                <w:sz w:val="18"/>
                <w:szCs w:val="18"/>
              </w:rPr>
              <w:t xml:space="preserve"> 2 + </w:t>
            </w:r>
            <w:r w:rsidRPr="000D0DA8">
              <w:rPr>
                <w:rFonts w:ascii="Cambria Math" w:hAnsi="Cambria Math" w:cs="Cambria Math"/>
                <w:sz w:val="18"/>
                <w:szCs w:val="18"/>
                <w:lang w:val="en-US"/>
              </w:rPr>
              <w:t>⩾</w:t>
            </w:r>
            <w:r w:rsidRPr="000D0DA8">
              <w:rPr>
                <w:sz w:val="18"/>
                <w:szCs w:val="18"/>
              </w:rPr>
              <w:t>50 %.</w:t>
            </w:r>
            <w:r w:rsidR="00E91FB6" w:rsidRPr="000D0DA8">
              <w:rPr>
                <w:sz w:val="18"/>
                <w:szCs w:val="18"/>
              </w:rPr>
              <w:t xml:space="preserve"> </w:t>
            </w:r>
            <w:r w:rsidRPr="000D0DA8">
              <w:rPr>
                <w:sz w:val="18"/>
                <w:szCs w:val="18"/>
              </w:rPr>
              <w:t>réduction des attaques de panique.</w:t>
            </w:r>
            <w:r w:rsidR="00E91FB6" w:rsidRPr="000D0DA8">
              <w:rPr>
                <w:sz w:val="18"/>
                <w:szCs w:val="18"/>
              </w:rPr>
              <w:t xml:space="preserve"> </w:t>
            </w:r>
            <w:r w:rsidRPr="000D0DA8">
              <w:rPr>
                <w:sz w:val="18"/>
                <w:szCs w:val="18"/>
              </w:rPr>
              <w:t>Rémission = aucune attaque de panique</w:t>
            </w:r>
            <w:r w:rsidR="00E91FB6" w:rsidRPr="000D0DA8">
              <w:rPr>
                <w:sz w:val="18"/>
                <w:szCs w:val="18"/>
              </w:rPr>
              <w:t xml:space="preserve"> </w:t>
            </w:r>
            <w:r w:rsidRPr="000D0DA8">
              <w:rPr>
                <w:sz w:val="18"/>
                <w:szCs w:val="18"/>
              </w:rPr>
              <w:t xml:space="preserve">et HAM-A </w:t>
            </w:r>
            <w:r w:rsidRPr="000D0DA8">
              <w:rPr>
                <w:rFonts w:ascii="Cambria Math" w:hAnsi="Cambria Math" w:cs="Cambria Math"/>
                <w:sz w:val="18"/>
                <w:szCs w:val="18"/>
                <w:lang w:val="en-US"/>
              </w:rPr>
              <w:t>⩽</w:t>
            </w:r>
            <w:r w:rsidRPr="000D0DA8">
              <w:rPr>
                <w:sz w:val="18"/>
                <w:szCs w:val="18"/>
              </w:rPr>
              <w:t xml:space="preserve"> 7 à la fin du traitement.</w:t>
            </w:r>
          </w:p>
        </w:tc>
        <w:tc>
          <w:tcPr>
            <w:tcW w:w="3402" w:type="dxa"/>
          </w:tcPr>
          <w:p w:rsidR="009C4907" w:rsidRPr="000D0DA8" w:rsidRDefault="009C4907" w:rsidP="00E91FB6">
            <w:pPr>
              <w:spacing w:after="200" w:line="276" w:lineRule="auto"/>
              <w:rPr>
                <w:sz w:val="18"/>
                <w:szCs w:val="18"/>
              </w:rPr>
            </w:pPr>
            <w:r w:rsidRPr="000D0DA8">
              <w:rPr>
                <w:sz w:val="18"/>
                <w:szCs w:val="18"/>
              </w:rPr>
              <w:t>Augmentation de la résistance au traitement</w:t>
            </w:r>
            <w:r w:rsidR="00E91FB6" w:rsidRPr="000D0DA8">
              <w:rPr>
                <w:sz w:val="18"/>
                <w:szCs w:val="18"/>
              </w:rPr>
              <w:t xml:space="preserve"> </w:t>
            </w:r>
            <w:r w:rsidRPr="000D0DA8">
              <w:rPr>
                <w:sz w:val="18"/>
                <w:szCs w:val="18"/>
              </w:rPr>
              <w:t xml:space="preserve">à 11,1 } 3,4 semaines de pharmacothérapie avec la paroxétine 40 mg/jour (N = 27) ou la sertraline 150 mg/jour (N = 4). Les médicaments sont restés stables pendant l'essai d'augmentation. </w:t>
            </w:r>
            <w:r w:rsidR="00E91FB6" w:rsidRPr="000D0DA8">
              <w:rPr>
                <w:sz w:val="18"/>
                <w:szCs w:val="18"/>
              </w:rPr>
              <w:t xml:space="preserve"> </w:t>
            </w:r>
            <w:r w:rsidRPr="000D0DA8">
              <w:rPr>
                <w:sz w:val="18"/>
                <w:szCs w:val="18"/>
              </w:rPr>
              <w:t>Effets indésirables : prise de poids légère à modérée et somnolence.</w:t>
            </w:r>
          </w:p>
        </w:tc>
      </w:tr>
      <w:tr w:rsidR="009C4907" w:rsidTr="0061014E">
        <w:tc>
          <w:tcPr>
            <w:tcW w:w="943" w:type="dxa"/>
          </w:tcPr>
          <w:p w:rsidR="009C4907" w:rsidRPr="000D0DA8" w:rsidRDefault="009C4907" w:rsidP="00E91FB6">
            <w:pPr>
              <w:spacing w:after="200" w:line="276" w:lineRule="auto"/>
              <w:rPr>
                <w:sz w:val="18"/>
                <w:szCs w:val="18"/>
                <w:lang w:val="en-US"/>
              </w:rPr>
            </w:pPr>
            <w:r w:rsidRPr="000D0DA8">
              <w:rPr>
                <w:sz w:val="18"/>
                <w:szCs w:val="18"/>
              </w:rPr>
              <w:t>Goddard</w:t>
            </w:r>
            <w:r w:rsidR="00E91FB6" w:rsidRPr="000D0DA8">
              <w:rPr>
                <w:sz w:val="18"/>
                <w:szCs w:val="18"/>
              </w:rPr>
              <w:t xml:space="preserve"> </w:t>
            </w:r>
            <w:r w:rsidRPr="000D0DA8">
              <w:rPr>
                <w:i/>
                <w:iCs/>
                <w:sz w:val="18"/>
                <w:szCs w:val="18"/>
              </w:rPr>
              <w:t>et al.</w:t>
            </w:r>
            <w:r w:rsidRPr="000D0DA8">
              <w:rPr>
                <w:sz w:val="18"/>
                <w:szCs w:val="18"/>
              </w:rPr>
              <w:t>113</w:t>
            </w:r>
          </w:p>
        </w:tc>
        <w:tc>
          <w:tcPr>
            <w:tcW w:w="1042" w:type="dxa"/>
          </w:tcPr>
          <w:p w:rsidR="009C4907" w:rsidRPr="000D0DA8" w:rsidRDefault="009C4907" w:rsidP="009C4907">
            <w:pPr>
              <w:spacing w:after="200" w:line="276" w:lineRule="auto"/>
              <w:rPr>
                <w:sz w:val="18"/>
                <w:szCs w:val="18"/>
                <w:lang w:val="en-US"/>
              </w:rPr>
            </w:pPr>
            <w:r w:rsidRPr="000D0DA8">
              <w:rPr>
                <w:sz w:val="18"/>
                <w:szCs w:val="18"/>
              </w:rPr>
              <w:t>Quetiapine-XR</w:t>
            </w:r>
            <w:r w:rsidRPr="000D0DA8">
              <w:rPr>
                <w:sz w:val="18"/>
                <w:szCs w:val="18"/>
                <w:lang w:val="en-US"/>
              </w:rPr>
              <w:tab/>
            </w:r>
          </w:p>
        </w:tc>
        <w:tc>
          <w:tcPr>
            <w:tcW w:w="850" w:type="dxa"/>
          </w:tcPr>
          <w:p w:rsidR="009C4907" w:rsidRPr="000D0DA8" w:rsidRDefault="009C4907" w:rsidP="00E91FB6">
            <w:pPr>
              <w:spacing w:after="200" w:line="276" w:lineRule="auto"/>
              <w:rPr>
                <w:sz w:val="18"/>
                <w:szCs w:val="18"/>
              </w:rPr>
            </w:pPr>
            <w:r w:rsidRPr="000D0DA8">
              <w:rPr>
                <w:sz w:val="18"/>
                <w:szCs w:val="18"/>
              </w:rPr>
              <w:t>En double aveugle.</w:t>
            </w:r>
            <w:r w:rsidR="00E91FB6" w:rsidRPr="000D0DA8">
              <w:rPr>
                <w:sz w:val="18"/>
                <w:szCs w:val="18"/>
              </w:rPr>
              <w:t xml:space="preserve"> </w:t>
            </w:r>
            <w:r w:rsidRPr="000D0DA8">
              <w:rPr>
                <w:sz w:val="18"/>
                <w:szCs w:val="18"/>
              </w:rPr>
              <w:t>contrôlé par placebo.</w:t>
            </w:r>
            <w:r w:rsidR="00E91FB6" w:rsidRPr="000D0DA8">
              <w:rPr>
                <w:sz w:val="18"/>
                <w:szCs w:val="18"/>
              </w:rPr>
              <w:t xml:space="preserve"> </w:t>
            </w:r>
            <w:r w:rsidRPr="000D0DA8">
              <w:rPr>
                <w:sz w:val="18"/>
                <w:szCs w:val="18"/>
              </w:rPr>
              <w:t>randomisé.</w:t>
            </w:r>
            <w:r w:rsidR="00E91FB6" w:rsidRPr="000D0DA8">
              <w:rPr>
                <w:sz w:val="18"/>
                <w:szCs w:val="18"/>
              </w:rPr>
              <w:t xml:space="preserve"> </w:t>
            </w:r>
            <w:r w:rsidRPr="000D0DA8">
              <w:rPr>
                <w:sz w:val="18"/>
                <w:szCs w:val="18"/>
              </w:rPr>
              <w:t>groupe parallèle</w:t>
            </w:r>
          </w:p>
        </w:tc>
        <w:tc>
          <w:tcPr>
            <w:tcW w:w="709" w:type="dxa"/>
          </w:tcPr>
          <w:p w:rsidR="009C4907" w:rsidRPr="000D0DA8" w:rsidRDefault="009C4907" w:rsidP="009C4907">
            <w:pPr>
              <w:spacing w:after="200" w:line="276" w:lineRule="auto"/>
              <w:rPr>
                <w:sz w:val="18"/>
                <w:szCs w:val="18"/>
                <w:lang w:val="en-US"/>
              </w:rPr>
            </w:pPr>
            <w:r w:rsidRPr="000D0DA8">
              <w:rPr>
                <w:sz w:val="18"/>
                <w:szCs w:val="18"/>
                <w:lang w:val="en-US"/>
              </w:rPr>
              <w:t xml:space="preserve">8 </w:t>
            </w:r>
            <w:r w:rsidRPr="000D0DA8">
              <w:rPr>
                <w:sz w:val="18"/>
                <w:szCs w:val="18"/>
              </w:rPr>
              <w:t>semaines</w:t>
            </w:r>
          </w:p>
        </w:tc>
        <w:tc>
          <w:tcPr>
            <w:tcW w:w="709" w:type="dxa"/>
          </w:tcPr>
          <w:p w:rsidR="009C4907" w:rsidRPr="000D0DA8" w:rsidRDefault="009C4907" w:rsidP="00E91FB6">
            <w:pPr>
              <w:spacing w:after="200" w:line="276" w:lineRule="auto"/>
              <w:rPr>
                <w:sz w:val="18"/>
                <w:szCs w:val="18"/>
                <w:lang w:val="en-US"/>
              </w:rPr>
            </w:pPr>
            <w:r w:rsidRPr="000D0DA8">
              <w:rPr>
                <w:sz w:val="18"/>
                <w:szCs w:val="18"/>
              </w:rPr>
              <w:t>21</w:t>
            </w:r>
            <w:r w:rsidR="00E91FB6" w:rsidRPr="000D0DA8">
              <w:rPr>
                <w:sz w:val="18"/>
                <w:szCs w:val="18"/>
              </w:rPr>
              <w:t xml:space="preserve"> </w:t>
            </w:r>
            <w:r w:rsidRPr="000D0DA8">
              <w:rPr>
                <w:sz w:val="18"/>
                <w:szCs w:val="18"/>
              </w:rPr>
              <w:t>Quetiapine = 10;</w:t>
            </w:r>
            <w:r w:rsidR="00E91FB6" w:rsidRPr="000D0DA8">
              <w:rPr>
                <w:sz w:val="18"/>
                <w:szCs w:val="18"/>
              </w:rPr>
              <w:t xml:space="preserve"> </w:t>
            </w:r>
            <w:r w:rsidRPr="000D0DA8">
              <w:rPr>
                <w:sz w:val="18"/>
                <w:szCs w:val="18"/>
              </w:rPr>
              <w:t>placebo = 11</w:t>
            </w:r>
          </w:p>
        </w:tc>
        <w:tc>
          <w:tcPr>
            <w:tcW w:w="850" w:type="dxa"/>
          </w:tcPr>
          <w:p w:rsidR="009C4907" w:rsidRPr="000D0DA8" w:rsidRDefault="009C4907" w:rsidP="009C4907">
            <w:pPr>
              <w:spacing w:after="200" w:line="276" w:lineRule="auto"/>
              <w:rPr>
                <w:sz w:val="18"/>
                <w:szCs w:val="18"/>
                <w:lang w:val="en-US"/>
              </w:rPr>
            </w:pPr>
            <w:r w:rsidRPr="000D0DA8">
              <w:rPr>
                <w:sz w:val="18"/>
                <w:szCs w:val="18"/>
              </w:rPr>
              <w:t xml:space="preserve">150 </w:t>
            </w:r>
            <w:r w:rsidRPr="000D0DA8">
              <w:rPr>
                <w:rFonts w:ascii="Calibri" w:hAnsi="Calibri" w:cs="Calibri"/>
                <w:sz w:val="18"/>
                <w:szCs w:val="18"/>
              </w:rPr>
              <w:t></w:t>
            </w:r>
            <w:r w:rsidRPr="000D0DA8">
              <w:rPr>
                <w:sz w:val="18"/>
                <w:szCs w:val="18"/>
              </w:rPr>
              <w:t>} 106 mg/jour</w:t>
            </w:r>
          </w:p>
        </w:tc>
        <w:tc>
          <w:tcPr>
            <w:tcW w:w="2835" w:type="dxa"/>
          </w:tcPr>
          <w:p w:rsidR="009C4907" w:rsidRPr="000D0DA8" w:rsidRDefault="009C4907" w:rsidP="00E91FB6">
            <w:pPr>
              <w:spacing w:after="200" w:line="276" w:lineRule="auto"/>
              <w:rPr>
                <w:sz w:val="18"/>
                <w:szCs w:val="18"/>
              </w:rPr>
            </w:pPr>
            <w:r w:rsidRPr="000D0DA8">
              <w:rPr>
                <w:sz w:val="18"/>
                <w:szCs w:val="18"/>
              </w:rPr>
              <w:t>Aucune différence significative</w:t>
            </w:r>
            <w:r w:rsidR="00E91FB6" w:rsidRPr="000D0DA8">
              <w:rPr>
                <w:sz w:val="18"/>
                <w:szCs w:val="18"/>
              </w:rPr>
              <w:t xml:space="preserve"> </w:t>
            </w:r>
            <w:r w:rsidRPr="000D0DA8">
              <w:rPr>
                <w:sz w:val="18"/>
                <w:szCs w:val="18"/>
              </w:rPr>
              <w:t>entre la quétiapine-XR et le</w:t>
            </w:r>
            <w:r w:rsidR="00E91FB6" w:rsidRPr="000D0DA8">
              <w:rPr>
                <w:sz w:val="18"/>
                <w:szCs w:val="18"/>
              </w:rPr>
              <w:t xml:space="preserve"> </w:t>
            </w:r>
            <w:r w:rsidRPr="000D0DA8">
              <w:rPr>
                <w:sz w:val="18"/>
                <w:szCs w:val="18"/>
              </w:rPr>
              <w:t>le placebo.</w:t>
            </w:r>
          </w:p>
        </w:tc>
        <w:tc>
          <w:tcPr>
            <w:tcW w:w="3402" w:type="dxa"/>
          </w:tcPr>
          <w:p w:rsidR="009C4907" w:rsidRPr="000D0DA8" w:rsidRDefault="009C4907" w:rsidP="00E91FB6">
            <w:pPr>
              <w:spacing w:after="200" w:line="276" w:lineRule="auto"/>
              <w:rPr>
                <w:sz w:val="18"/>
                <w:szCs w:val="18"/>
                <w:lang w:val="en-US"/>
              </w:rPr>
            </w:pPr>
            <w:r w:rsidRPr="000D0DA8">
              <w:rPr>
                <w:sz w:val="18"/>
                <w:szCs w:val="18"/>
                <w:lang w:val="en-US"/>
              </w:rPr>
              <w:t>Augmentation in SSRIs-resistance.</w:t>
            </w:r>
            <w:r w:rsidRPr="000D0DA8">
              <w:rPr>
                <w:sz w:val="18"/>
                <w:szCs w:val="18"/>
                <w:cs/>
                <w:lang w:val="en-US"/>
              </w:rPr>
              <w:t>‎</w:t>
            </w:r>
            <w:r w:rsidR="00E91FB6" w:rsidRPr="000D0DA8">
              <w:rPr>
                <w:sz w:val="18"/>
                <w:szCs w:val="18"/>
                <w:cs/>
                <w:lang w:val="en-US"/>
              </w:rPr>
              <w:t xml:space="preserve"> </w:t>
            </w:r>
            <w:r w:rsidRPr="000D0DA8">
              <w:rPr>
                <w:sz w:val="18"/>
                <w:szCs w:val="18"/>
                <w:lang w:val="en-US"/>
              </w:rPr>
              <w:t xml:space="preserve">Patients with some other psychiatric and/or other medical conditions were not excluded. Not a unified definition of ‘SSRI-resistance’ used in the study. </w:t>
            </w:r>
            <w:r w:rsidRPr="000D0DA8">
              <w:rPr>
                <w:sz w:val="18"/>
                <w:szCs w:val="18"/>
                <w:cs/>
                <w:lang w:val="en-US"/>
              </w:rPr>
              <w:t>‎</w:t>
            </w:r>
          </w:p>
        </w:tc>
      </w:tr>
      <w:tr w:rsidR="009C4907" w:rsidTr="0061014E">
        <w:tc>
          <w:tcPr>
            <w:tcW w:w="943" w:type="dxa"/>
          </w:tcPr>
          <w:p w:rsidR="009C4907" w:rsidRPr="000D0DA8" w:rsidRDefault="009C4907" w:rsidP="00E91FB6">
            <w:pPr>
              <w:spacing w:after="200" w:line="276" w:lineRule="auto"/>
              <w:rPr>
                <w:sz w:val="18"/>
                <w:szCs w:val="18"/>
                <w:lang w:val="en-US"/>
              </w:rPr>
            </w:pPr>
            <w:r w:rsidRPr="000D0DA8">
              <w:rPr>
                <w:sz w:val="18"/>
                <w:szCs w:val="18"/>
              </w:rPr>
              <w:t>Simon</w:t>
            </w:r>
            <w:r w:rsidR="00E91FB6" w:rsidRPr="000D0DA8">
              <w:rPr>
                <w:sz w:val="18"/>
                <w:szCs w:val="18"/>
              </w:rPr>
              <w:t xml:space="preserve"> </w:t>
            </w:r>
            <w:r w:rsidRPr="000D0DA8">
              <w:rPr>
                <w:i/>
                <w:iCs/>
                <w:sz w:val="18"/>
                <w:szCs w:val="18"/>
              </w:rPr>
              <w:t>et al.</w:t>
            </w:r>
            <w:r w:rsidRPr="000D0DA8">
              <w:rPr>
                <w:sz w:val="18"/>
                <w:szCs w:val="18"/>
              </w:rPr>
              <w:t>114</w:t>
            </w:r>
          </w:p>
        </w:tc>
        <w:tc>
          <w:tcPr>
            <w:tcW w:w="1042" w:type="dxa"/>
          </w:tcPr>
          <w:p w:rsidR="009C4907" w:rsidRPr="000D0DA8" w:rsidRDefault="009C4907" w:rsidP="009C4907">
            <w:pPr>
              <w:spacing w:after="200" w:line="276" w:lineRule="auto"/>
              <w:rPr>
                <w:sz w:val="18"/>
                <w:szCs w:val="18"/>
                <w:lang w:val="en-US"/>
              </w:rPr>
            </w:pPr>
            <w:r w:rsidRPr="000D0DA8">
              <w:rPr>
                <w:sz w:val="18"/>
                <w:szCs w:val="18"/>
              </w:rPr>
              <w:t>Risperidone</w:t>
            </w:r>
            <w:r w:rsidRPr="000D0DA8">
              <w:rPr>
                <w:sz w:val="18"/>
                <w:szCs w:val="18"/>
                <w:lang w:val="en-US"/>
              </w:rPr>
              <w:tab/>
            </w:r>
          </w:p>
        </w:tc>
        <w:tc>
          <w:tcPr>
            <w:tcW w:w="850" w:type="dxa"/>
          </w:tcPr>
          <w:p w:rsidR="009C4907" w:rsidRPr="000D0DA8" w:rsidRDefault="009C4907" w:rsidP="009C4907">
            <w:pPr>
              <w:spacing w:after="200" w:line="276" w:lineRule="auto"/>
              <w:rPr>
                <w:sz w:val="18"/>
                <w:szCs w:val="18"/>
                <w:lang w:val="en-US"/>
              </w:rPr>
            </w:pPr>
            <w:r w:rsidRPr="000D0DA8">
              <w:rPr>
                <w:sz w:val="18"/>
                <w:szCs w:val="18"/>
              </w:rPr>
              <w:t>En ouvert</w:t>
            </w:r>
          </w:p>
        </w:tc>
        <w:tc>
          <w:tcPr>
            <w:tcW w:w="709" w:type="dxa"/>
          </w:tcPr>
          <w:p w:rsidR="009C4907" w:rsidRPr="000D0DA8" w:rsidRDefault="009C4907" w:rsidP="009C4907">
            <w:pPr>
              <w:spacing w:after="200" w:line="276" w:lineRule="auto"/>
              <w:rPr>
                <w:sz w:val="18"/>
                <w:szCs w:val="18"/>
                <w:lang w:val="en-US"/>
              </w:rPr>
            </w:pPr>
            <w:r w:rsidRPr="000D0DA8">
              <w:rPr>
                <w:sz w:val="18"/>
                <w:szCs w:val="18"/>
                <w:lang w:val="en-US"/>
              </w:rPr>
              <w:t xml:space="preserve">8 </w:t>
            </w:r>
            <w:r w:rsidRPr="000D0DA8">
              <w:rPr>
                <w:sz w:val="18"/>
                <w:szCs w:val="18"/>
              </w:rPr>
              <w:t>semaines</w:t>
            </w:r>
          </w:p>
        </w:tc>
        <w:tc>
          <w:tcPr>
            <w:tcW w:w="709" w:type="dxa"/>
          </w:tcPr>
          <w:p w:rsidR="009C4907" w:rsidRPr="000D0DA8" w:rsidRDefault="009C4907" w:rsidP="00E91FB6">
            <w:pPr>
              <w:spacing w:after="200" w:line="276" w:lineRule="auto"/>
              <w:rPr>
                <w:sz w:val="18"/>
                <w:szCs w:val="18"/>
                <w:lang w:val="en-US"/>
              </w:rPr>
            </w:pPr>
            <w:r w:rsidRPr="000D0DA8">
              <w:rPr>
                <w:sz w:val="18"/>
                <w:szCs w:val="18"/>
                <w:lang w:val="en-US"/>
              </w:rPr>
              <w:t>7 (et 23 avec</w:t>
            </w:r>
            <w:r w:rsidR="00E91FB6" w:rsidRPr="000D0DA8">
              <w:rPr>
                <w:sz w:val="18"/>
                <w:szCs w:val="18"/>
                <w:lang w:val="en-US"/>
              </w:rPr>
              <w:t xml:space="preserve"> </w:t>
            </w:r>
            <w:r w:rsidRPr="000D0DA8">
              <w:rPr>
                <w:sz w:val="18"/>
                <w:szCs w:val="18"/>
                <w:lang w:val="en-US"/>
              </w:rPr>
              <w:t>d'autres</w:t>
            </w:r>
            <w:r w:rsidR="00E91FB6" w:rsidRPr="000D0DA8">
              <w:rPr>
                <w:sz w:val="18"/>
                <w:szCs w:val="18"/>
                <w:lang w:val="en-US"/>
              </w:rPr>
              <w:t xml:space="preserve"> </w:t>
            </w:r>
            <w:r w:rsidRPr="000D0DA8">
              <w:rPr>
                <w:sz w:val="18"/>
                <w:szCs w:val="18"/>
                <w:lang w:val="en-US"/>
              </w:rPr>
              <w:t>d'anxiété)</w:t>
            </w:r>
          </w:p>
        </w:tc>
        <w:tc>
          <w:tcPr>
            <w:tcW w:w="850" w:type="dxa"/>
          </w:tcPr>
          <w:p w:rsidR="009C4907" w:rsidRPr="000D0DA8" w:rsidRDefault="009C4907" w:rsidP="00E91FB6">
            <w:pPr>
              <w:spacing w:after="200" w:line="276" w:lineRule="auto"/>
              <w:rPr>
                <w:sz w:val="18"/>
                <w:szCs w:val="18"/>
              </w:rPr>
            </w:pPr>
            <w:r w:rsidRPr="000D0DA8">
              <w:rPr>
                <w:sz w:val="18"/>
                <w:szCs w:val="18"/>
              </w:rPr>
              <w:t>1.12 } 0,68 mg/jour.</w:t>
            </w:r>
            <w:r w:rsidR="00E91FB6" w:rsidRPr="000D0DA8">
              <w:rPr>
                <w:sz w:val="18"/>
                <w:szCs w:val="18"/>
              </w:rPr>
              <w:t xml:space="preserve"> </w:t>
            </w:r>
            <w:r w:rsidRPr="000D0DA8">
              <w:rPr>
                <w:sz w:val="18"/>
                <w:szCs w:val="18"/>
              </w:rPr>
              <w:t>(dose moyenne concernant</w:t>
            </w:r>
            <w:r w:rsidR="00E91FB6" w:rsidRPr="000D0DA8">
              <w:rPr>
                <w:sz w:val="18"/>
                <w:szCs w:val="18"/>
              </w:rPr>
              <w:t xml:space="preserve"> </w:t>
            </w:r>
            <w:r w:rsidRPr="000D0DA8">
              <w:rPr>
                <w:sz w:val="18"/>
                <w:szCs w:val="18"/>
              </w:rPr>
              <w:t>les 30 patients)</w:t>
            </w:r>
          </w:p>
        </w:tc>
        <w:tc>
          <w:tcPr>
            <w:tcW w:w="2835" w:type="dxa"/>
          </w:tcPr>
          <w:p w:rsidR="009C4907" w:rsidRPr="000D0DA8" w:rsidRDefault="009C4907" w:rsidP="009C4907">
            <w:pPr>
              <w:spacing w:after="200" w:line="276" w:lineRule="auto"/>
              <w:rPr>
                <w:sz w:val="18"/>
                <w:szCs w:val="18"/>
              </w:rPr>
            </w:pPr>
            <w:r w:rsidRPr="000D0DA8">
              <w:rPr>
                <w:sz w:val="18"/>
                <w:szCs w:val="18"/>
              </w:rPr>
              <w:t>Sous-groupe PD : réductions significatives des symptômes du PDA et amélioration clinique globale.</w:t>
            </w:r>
          </w:p>
        </w:tc>
        <w:tc>
          <w:tcPr>
            <w:tcW w:w="3402" w:type="dxa"/>
          </w:tcPr>
          <w:p w:rsidR="009C4907" w:rsidRPr="000D0DA8" w:rsidRDefault="009C4907" w:rsidP="009C4907">
            <w:pPr>
              <w:spacing w:after="200" w:line="276" w:lineRule="auto"/>
              <w:rPr>
                <w:sz w:val="18"/>
                <w:szCs w:val="18"/>
              </w:rPr>
            </w:pPr>
            <w:r w:rsidRPr="000D0DA8">
              <w:rPr>
                <w:sz w:val="18"/>
                <w:szCs w:val="18"/>
              </w:rPr>
              <w:t>Augmentation dans les troubles anxieux chroniques réfractaires au traitement. Effets indésirables : sédation/fatigue, augmentation de l'appétit, prise de poids, vertiges.</w:t>
            </w:r>
          </w:p>
        </w:tc>
      </w:tr>
      <w:tr w:rsidR="009C4907" w:rsidTr="0061014E">
        <w:tc>
          <w:tcPr>
            <w:tcW w:w="943" w:type="dxa"/>
          </w:tcPr>
          <w:p w:rsidR="009C4907" w:rsidRPr="000D0DA8" w:rsidRDefault="009C4907" w:rsidP="00E91FB6">
            <w:pPr>
              <w:spacing w:after="200" w:line="276" w:lineRule="auto"/>
              <w:rPr>
                <w:sz w:val="18"/>
                <w:szCs w:val="18"/>
                <w:lang w:val="en-US"/>
              </w:rPr>
            </w:pPr>
            <w:r w:rsidRPr="000D0DA8">
              <w:rPr>
                <w:sz w:val="18"/>
                <w:szCs w:val="18"/>
              </w:rPr>
              <w:t>Prosser</w:t>
            </w:r>
            <w:r w:rsidR="00E91FB6" w:rsidRPr="000D0DA8">
              <w:rPr>
                <w:sz w:val="18"/>
                <w:szCs w:val="18"/>
              </w:rPr>
              <w:t xml:space="preserve"> </w:t>
            </w:r>
            <w:r w:rsidRPr="000D0DA8">
              <w:rPr>
                <w:i/>
                <w:iCs/>
                <w:sz w:val="18"/>
                <w:szCs w:val="18"/>
              </w:rPr>
              <w:t>et al.</w:t>
            </w:r>
            <w:r w:rsidRPr="000D0DA8">
              <w:rPr>
                <w:sz w:val="18"/>
                <w:szCs w:val="18"/>
              </w:rPr>
              <w:t>115</w:t>
            </w:r>
          </w:p>
        </w:tc>
        <w:tc>
          <w:tcPr>
            <w:tcW w:w="1042" w:type="dxa"/>
          </w:tcPr>
          <w:p w:rsidR="009C4907" w:rsidRPr="000D0DA8" w:rsidRDefault="009C4907" w:rsidP="00E91FB6">
            <w:pPr>
              <w:spacing w:after="200" w:line="276" w:lineRule="auto"/>
              <w:rPr>
                <w:sz w:val="18"/>
                <w:szCs w:val="18"/>
                <w:lang w:val="en-US"/>
              </w:rPr>
            </w:pPr>
            <w:r w:rsidRPr="000D0DA8">
              <w:rPr>
                <w:sz w:val="18"/>
                <w:szCs w:val="18"/>
              </w:rPr>
              <w:t>Risperidone</w:t>
            </w:r>
            <w:r w:rsidR="00E91FB6" w:rsidRPr="000D0DA8">
              <w:rPr>
                <w:sz w:val="18"/>
                <w:szCs w:val="18"/>
              </w:rPr>
              <w:t xml:space="preserve"> </w:t>
            </w:r>
            <w:r w:rsidRPr="000D0DA8">
              <w:rPr>
                <w:i/>
                <w:iCs/>
                <w:sz w:val="18"/>
                <w:szCs w:val="18"/>
              </w:rPr>
              <w:t>versus</w:t>
            </w:r>
            <w:r w:rsidR="00E91FB6" w:rsidRPr="000D0DA8">
              <w:rPr>
                <w:i/>
                <w:iCs/>
                <w:sz w:val="18"/>
                <w:szCs w:val="18"/>
              </w:rPr>
              <w:t xml:space="preserve"> </w:t>
            </w:r>
            <w:r w:rsidRPr="000D0DA8">
              <w:rPr>
                <w:sz w:val="18"/>
                <w:szCs w:val="18"/>
              </w:rPr>
              <w:t>paroxetine</w:t>
            </w:r>
          </w:p>
        </w:tc>
        <w:tc>
          <w:tcPr>
            <w:tcW w:w="850" w:type="dxa"/>
          </w:tcPr>
          <w:p w:rsidR="009C4907" w:rsidRPr="000D0DA8" w:rsidRDefault="009C4907" w:rsidP="00E91FB6">
            <w:pPr>
              <w:spacing w:after="200" w:line="276" w:lineRule="auto"/>
              <w:rPr>
                <w:sz w:val="18"/>
                <w:szCs w:val="18"/>
                <w:lang w:val="en-US"/>
              </w:rPr>
            </w:pPr>
            <w:r w:rsidRPr="000D0DA8">
              <w:rPr>
                <w:sz w:val="18"/>
                <w:szCs w:val="18"/>
              </w:rPr>
              <w:t>Randomisé</w:t>
            </w:r>
            <w:r w:rsidR="00E91FB6" w:rsidRPr="000D0DA8">
              <w:rPr>
                <w:sz w:val="18"/>
                <w:szCs w:val="18"/>
              </w:rPr>
              <w:t xml:space="preserve">, </w:t>
            </w:r>
            <w:r w:rsidRPr="000D0DA8">
              <w:rPr>
                <w:sz w:val="18"/>
                <w:szCs w:val="18"/>
              </w:rPr>
              <w:t>en aveugle</w:t>
            </w:r>
          </w:p>
        </w:tc>
        <w:tc>
          <w:tcPr>
            <w:tcW w:w="709" w:type="dxa"/>
          </w:tcPr>
          <w:p w:rsidR="009C4907" w:rsidRPr="000D0DA8" w:rsidRDefault="009C4907" w:rsidP="009C4907">
            <w:pPr>
              <w:spacing w:after="200" w:line="276" w:lineRule="auto"/>
              <w:rPr>
                <w:sz w:val="18"/>
                <w:szCs w:val="18"/>
                <w:lang w:val="en-US"/>
              </w:rPr>
            </w:pPr>
            <w:r w:rsidRPr="000D0DA8">
              <w:rPr>
                <w:sz w:val="18"/>
                <w:szCs w:val="18"/>
                <w:lang w:val="en-US"/>
              </w:rPr>
              <w:t xml:space="preserve">8 </w:t>
            </w:r>
            <w:r w:rsidRPr="000D0DA8">
              <w:rPr>
                <w:sz w:val="18"/>
                <w:szCs w:val="18"/>
              </w:rPr>
              <w:t>semaines</w:t>
            </w:r>
          </w:p>
        </w:tc>
        <w:tc>
          <w:tcPr>
            <w:tcW w:w="709" w:type="dxa"/>
          </w:tcPr>
          <w:p w:rsidR="009C4907" w:rsidRPr="000D0DA8" w:rsidRDefault="009C4907" w:rsidP="00E91FB6">
            <w:pPr>
              <w:spacing w:after="200" w:line="276" w:lineRule="auto"/>
              <w:rPr>
                <w:sz w:val="18"/>
                <w:szCs w:val="18"/>
              </w:rPr>
            </w:pPr>
            <w:r w:rsidRPr="000D0DA8">
              <w:rPr>
                <w:sz w:val="18"/>
                <w:szCs w:val="18"/>
              </w:rPr>
              <w:t>56 (DP = 43 ; dépression majeure</w:t>
            </w:r>
            <w:r w:rsidR="00E91FB6" w:rsidRPr="000D0DA8">
              <w:rPr>
                <w:sz w:val="18"/>
                <w:szCs w:val="18"/>
              </w:rPr>
              <w:t xml:space="preserve"> </w:t>
            </w:r>
            <w:r w:rsidRPr="000D0DA8">
              <w:rPr>
                <w:sz w:val="18"/>
                <w:szCs w:val="18"/>
              </w:rPr>
              <w:t>dépression et</w:t>
            </w:r>
            <w:r w:rsidR="00E91FB6" w:rsidRPr="000D0DA8">
              <w:rPr>
                <w:sz w:val="18"/>
                <w:szCs w:val="18"/>
              </w:rPr>
              <w:t xml:space="preserve"> </w:t>
            </w:r>
            <w:r w:rsidRPr="000D0DA8">
              <w:rPr>
                <w:sz w:val="18"/>
                <w:szCs w:val="18"/>
              </w:rPr>
              <w:t>attaques de panique = 13)</w:t>
            </w:r>
          </w:p>
        </w:tc>
        <w:tc>
          <w:tcPr>
            <w:tcW w:w="850" w:type="dxa"/>
          </w:tcPr>
          <w:p w:rsidR="009C4907" w:rsidRPr="000D0DA8" w:rsidRDefault="009C4907" w:rsidP="00E91FB6">
            <w:pPr>
              <w:spacing w:after="200" w:line="276" w:lineRule="auto"/>
              <w:rPr>
                <w:sz w:val="18"/>
                <w:szCs w:val="18"/>
              </w:rPr>
            </w:pPr>
            <w:r w:rsidRPr="000D0DA8">
              <w:rPr>
                <w:sz w:val="18"/>
                <w:szCs w:val="18"/>
              </w:rPr>
              <w:t>Posologie moyenne de</w:t>
            </w:r>
            <w:r w:rsidR="00E91FB6" w:rsidRPr="000D0DA8">
              <w:rPr>
                <w:sz w:val="18"/>
                <w:szCs w:val="18"/>
              </w:rPr>
              <w:t xml:space="preserve"> </w:t>
            </w:r>
            <w:r w:rsidRPr="000D0DA8">
              <w:rPr>
                <w:sz w:val="18"/>
                <w:szCs w:val="18"/>
              </w:rPr>
              <w:t>rispéridone = 0,53 mg/jour</w:t>
            </w:r>
            <w:r w:rsidR="00E91FB6" w:rsidRPr="000D0DA8">
              <w:rPr>
                <w:sz w:val="18"/>
                <w:szCs w:val="18"/>
              </w:rPr>
              <w:t xml:space="preserve"> </w:t>
            </w:r>
            <w:r w:rsidRPr="000D0DA8">
              <w:rPr>
                <w:sz w:val="18"/>
                <w:szCs w:val="18"/>
              </w:rPr>
              <w:t>(fourchette = 0,125-1,0 mg).</w:t>
            </w:r>
            <w:r w:rsidR="00E91FB6" w:rsidRPr="000D0DA8">
              <w:rPr>
                <w:sz w:val="18"/>
                <w:szCs w:val="18"/>
              </w:rPr>
              <w:t xml:space="preserve"> </w:t>
            </w:r>
            <w:r w:rsidRPr="000D0DA8">
              <w:rPr>
                <w:sz w:val="18"/>
                <w:szCs w:val="18"/>
              </w:rPr>
              <w:t>Paroxétine = 30 mg/jour</w:t>
            </w:r>
            <w:r w:rsidR="00E91FB6" w:rsidRPr="000D0DA8">
              <w:rPr>
                <w:sz w:val="18"/>
                <w:szCs w:val="18"/>
              </w:rPr>
              <w:t xml:space="preserve"> </w:t>
            </w:r>
            <w:r w:rsidRPr="000D0DA8">
              <w:rPr>
                <w:sz w:val="18"/>
                <w:szCs w:val="18"/>
              </w:rPr>
              <w:t>(dose fixe).</w:t>
            </w:r>
          </w:p>
        </w:tc>
        <w:tc>
          <w:tcPr>
            <w:tcW w:w="2835" w:type="dxa"/>
          </w:tcPr>
          <w:p w:rsidR="009C4907" w:rsidRPr="000D0DA8" w:rsidRDefault="009C4907" w:rsidP="00E91FB6">
            <w:pPr>
              <w:spacing w:after="200" w:line="276" w:lineRule="auto"/>
              <w:rPr>
                <w:sz w:val="18"/>
                <w:szCs w:val="18"/>
                <w:lang w:val="en-US"/>
              </w:rPr>
            </w:pPr>
            <w:r w:rsidRPr="000D0DA8">
              <w:rPr>
                <w:sz w:val="18"/>
                <w:szCs w:val="18"/>
              </w:rPr>
              <w:t>Réduction significative de la fréquence/gravité des attaques de panique.</w:t>
            </w:r>
            <w:r w:rsidR="00E91FB6" w:rsidRPr="000D0DA8">
              <w:rPr>
                <w:sz w:val="18"/>
                <w:szCs w:val="18"/>
              </w:rPr>
              <w:t xml:space="preserve"> </w:t>
            </w:r>
            <w:r w:rsidRPr="000D0DA8">
              <w:rPr>
                <w:sz w:val="18"/>
                <w:szCs w:val="18"/>
                <w:lang w:val="en-US"/>
              </w:rPr>
              <w:t>Efficacité : rispéridone = paroxétine.</w:t>
            </w:r>
          </w:p>
        </w:tc>
        <w:tc>
          <w:tcPr>
            <w:tcW w:w="3402" w:type="dxa"/>
          </w:tcPr>
          <w:p w:rsidR="009C4907" w:rsidRPr="000D0DA8" w:rsidRDefault="009C4907" w:rsidP="00E91FB6">
            <w:pPr>
              <w:spacing w:after="200" w:line="276" w:lineRule="auto"/>
              <w:rPr>
                <w:sz w:val="18"/>
                <w:szCs w:val="18"/>
              </w:rPr>
            </w:pPr>
            <w:r w:rsidRPr="000D0DA8">
              <w:rPr>
                <w:sz w:val="18"/>
                <w:szCs w:val="18"/>
              </w:rPr>
              <w:t>Augmentation de la résistance au traitement. Taux d'attrition = 48% (rispéridone = 39,4% ; paroxétine = 60,9% ; pas de différence statistique). La paroxétine a été initiée sans titrage. La médication concomitante n'a pas été signalée ; mais (a) l'utilisation d'antipsychotiques et tout changement dans les doses d'antidépresseurs ou de stabilisateurs d'humeur au cours des 2 mois précédant l'étude et (b) l'utilisation d'autres psychotropes au cours de l'étude étaient tous deux des critères d'exclusion.</w:t>
            </w:r>
          </w:p>
        </w:tc>
      </w:tr>
      <w:tr w:rsidR="009C4907" w:rsidTr="0061014E">
        <w:tc>
          <w:tcPr>
            <w:tcW w:w="943" w:type="dxa"/>
          </w:tcPr>
          <w:p w:rsidR="009C4907" w:rsidRPr="000D0DA8" w:rsidRDefault="009C4907" w:rsidP="00E91FB6">
            <w:pPr>
              <w:spacing w:after="200" w:line="276" w:lineRule="auto"/>
              <w:rPr>
                <w:sz w:val="18"/>
                <w:szCs w:val="18"/>
                <w:lang w:val="en-US"/>
              </w:rPr>
            </w:pPr>
            <w:r w:rsidRPr="000D0DA8">
              <w:rPr>
                <w:sz w:val="18"/>
                <w:szCs w:val="18"/>
              </w:rPr>
              <w:t>Nunes</w:t>
            </w:r>
            <w:r w:rsidR="00E91FB6" w:rsidRPr="000D0DA8">
              <w:rPr>
                <w:sz w:val="18"/>
                <w:szCs w:val="18"/>
              </w:rPr>
              <w:t xml:space="preserve"> </w:t>
            </w:r>
            <w:r w:rsidRPr="000D0DA8">
              <w:rPr>
                <w:i/>
                <w:iCs/>
                <w:sz w:val="18"/>
                <w:szCs w:val="18"/>
              </w:rPr>
              <w:t>et al.</w:t>
            </w:r>
            <w:r w:rsidRPr="000D0DA8">
              <w:rPr>
                <w:sz w:val="18"/>
                <w:szCs w:val="18"/>
              </w:rPr>
              <w:t>14</w:t>
            </w:r>
          </w:p>
        </w:tc>
        <w:tc>
          <w:tcPr>
            <w:tcW w:w="1042" w:type="dxa"/>
          </w:tcPr>
          <w:p w:rsidR="009C4907" w:rsidRPr="000D0DA8" w:rsidRDefault="009C4907" w:rsidP="009C4907">
            <w:pPr>
              <w:spacing w:after="200" w:line="276" w:lineRule="auto"/>
              <w:rPr>
                <w:sz w:val="18"/>
                <w:szCs w:val="18"/>
                <w:lang w:val="en-US"/>
              </w:rPr>
            </w:pPr>
            <w:r w:rsidRPr="000D0DA8">
              <w:rPr>
                <w:sz w:val="18"/>
                <w:szCs w:val="18"/>
              </w:rPr>
              <w:t>Sulpiride</w:t>
            </w:r>
          </w:p>
        </w:tc>
        <w:tc>
          <w:tcPr>
            <w:tcW w:w="850" w:type="dxa"/>
          </w:tcPr>
          <w:p w:rsidR="009C4907" w:rsidRPr="000D0DA8" w:rsidRDefault="009C4907" w:rsidP="009C4907">
            <w:pPr>
              <w:spacing w:after="200" w:line="276" w:lineRule="auto"/>
              <w:rPr>
                <w:sz w:val="18"/>
                <w:szCs w:val="18"/>
                <w:lang w:val="en-US"/>
              </w:rPr>
            </w:pPr>
            <w:r w:rsidRPr="000D0DA8">
              <w:rPr>
                <w:sz w:val="18"/>
                <w:szCs w:val="18"/>
              </w:rPr>
              <w:t>En ouvert</w:t>
            </w:r>
          </w:p>
        </w:tc>
        <w:tc>
          <w:tcPr>
            <w:tcW w:w="709" w:type="dxa"/>
          </w:tcPr>
          <w:p w:rsidR="009C4907" w:rsidRPr="000D0DA8" w:rsidRDefault="009C4907" w:rsidP="009C4907">
            <w:pPr>
              <w:spacing w:after="200" w:line="276" w:lineRule="auto"/>
              <w:rPr>
                <w:sz w:val="18"/>
                <w:szCs w:val="18"/>
                <w:lang w:val="en-US"/>
              </w:rPr>
            </w:pPr>
            <w:r w:rsidRPr="000D0DA8">
              <w:rPr>
                <w:sz w:val="18"/>
                <w:szCs w:val="18"/>
                <w:lang w:val="en-US"/>
              </w:rPr>
              <w:t xml:space="preserve">8 </w:t>
            </w:r>
            <w:r w:rsidRPr="000D0DA8">
              <w:rPr>
                <w:sz w:val="18"/>
                <w:szCs w:val="18"/>
              </w:rPr>
              <w:t>semaines</w:t>
            </w:r>
          </w:p>
        </w:tc>
        <w:tc>
          <w:tcPr>
            <w:tcW w:w="709" w:type="dxa"/>
          </w:tcPr>
          <w:p w:rsidR="009C4907" w:rsidRPr="000D0DA8" w:rsidRDefault="009C4907" w:rsidP="009C4907">
            <w:pPr>
              <w:spacing w:after="200" w:line="276" w:lineRule="auto"/>
              <w:rPr>
                <w:sz w:val="18"/>
                <w:szCs w:val="18"/>
                <w:lang w:val="en-US"/>
              </w:rPr>
            </w:pPr>
            <w:r w:rsidRPr="000D0DA8">
              <w:rPr>
                <w:sz w:val="18"/>
                <w:szCs w:val="18"/>
              </w:rPr>
              <w:t>19</w:t>
            </w:r>
          </w:p>
        </w:tc>
        <w:tc>
          <w:tcPr>
            <w:tcW w:w="850" w:type="dxa"/>
          </w:tcPr>
          <w:p w:rsidR="009C4907" w:rsidRPr="000D0DA8" w:rsidRDefault="009C4907" w:rsidP="00E91FB6">
            <w:pPr>
              <w:spacing w:after="200" w:line="276" w:lineRule="auto"/>
              <w:rPr>
                <w:sz w:val="18"/>
                <w:szCs w:val="18"/>
              </w:rPr>
            </w:pPr>
            <w:r w:rsidRPr="000D0DA8">
              <w:rPr>
                <w:sz w:val="18"/>
                <w:szCs w:val="18"/>
              </w:rPr>
              <w:t>100, 150 ou 200 mg/jour.</w:t>
            </w:r>
            <w:r w:rsidR="00E91FB6" w:rsidRPr="000D0DA8">
              <w:rPr>
                <w:sz w:val="18"/>
                <w:szCs w:val="18"/>
              </w:rPr>
              <w:t xml:space="preserve">selon la gravité des symptômes </w:t>
            </w:r>
            <w:r w:rsidRPr="000D0DA8">
              <w:rPr>
                <w:sz w:val="18"/>
                <w:szCs w:val="18"/>
              </w:rPr>
              <w:t xml:space="preserve">des </w:t>
            </w:r>
            <w:r w:rsidRPr="000D0DA8">
              <w:rPr>
                <w:sz w:val="18"/>
                <w:szCs w:val="18"/>
              </w:rPr>
              <w:lastRenderedPageBreak/>
              <w:t>symptômes.</w:t>
            </w:r>
          </w:p>
        </w:tc>
        <w:tc>
          <w:tcPr>
            <w:tcW w:w="2835" w:type="dxa"/>
          </w:tcPr>
          <w:p w:rsidR="009C4907" w:rsidRPr="000D0DA8" w:rsidRDefault="009C4907" w:rsidP="009C4907">
            <w:pPr>
              <w:spacing w:after="200" w:line="276" w:lineRule="auto"/>
              <w:rPr>
                <w:sz w:val="18"/>
                <w:szCs w:val="18"/>
              </w:rPr>
            </w:pPr>
            <w:r w:rsidRPr="000D0DA8">
              <w:rPr>
                <w:sz w:val="18"/>
                <w:szCs w:val="18"/>
              </w:rPr>
              <w:lastRenderedPageBreak/>
              <w:t>Amélioration significative : attaques de panique (sans panique = 63,2%) ; anxiété ; présentation clinique globale.</w:t>
            </w:r>
          </w:p>
        </w:tc>
        <w:tc>
          <w:tcPr>
            <w:tcW w:w="3402" w:type="dxa"/>
          </w:tcPr>
          <w:p w:rsidR="009C4907" w:rsidRPr="000D0DA8" w:rsidRDefault="009C4907" w:rsidP="009C4907">
            <w:pPr>
              <w:spacing w:after="200" w:line="276" w:lineRule="auto"/>
              <w:rPr>
                <w:sz w:val="18"/>
                <w:szCs w:val="18"/>
              </w:rPr>
            </w:pPr>
            <w:r w:rsidRPr="000D0DA8">
              <w:rPr>
                <w:sz w:val="18"/>
                <w:szCs w:val="18"/>
              </w:rPr>
              <w:t>Monothérapie par sulpiride de la MP résistante au traitement. Période d'élimination d'une semaine (paroxétine, citalopram ou sertraline) avant l'administration du sulpiride. Effets indésirables les plus fréquents (gravité légère) : changement d'appétit, aménorrhée/galactorrhée.</w:t>
            </w:r>
          </w:p>
        </w:tc>
      </w:tr>
    </w:tbl>
    <w:p w:rsidR="000F60D9" w:rsidRDefault="00914589" w:rsidP="00914589">
      <w:pPr>
        <w:rPr>
          <w:sz w:val="12"/>
          <w:szCs w:val="12"/>
        </w:rPr>
      </w:pPr>
      <w:r>
        <w:rPr>
          <w:sz w:val="12"/>
          <w:szCs w:val="12"/>
        </w:rPr>
        <w:t xml:space="preserve">PS : </w:t>
      </w:r>
      <w:r w:rsidR="000F60D9" w:rsidRPr="000F60D9">
        <w:rPr>
          <w:sz w:val="12"/>
          <w:szCs w:val="12"/>
        </w:rPr>
        <w:t>CGI-I, impression globale clinique d'amélioration ; HAM-A, échelle d'évaluation de l'anxiété de Hamilton ; IRM, imagerie par résonance magnétique ; PD, trouble panique ; PDA, trouble panique avec agoraphobie ; ISRS, inhibiteurs sélectifs de la recapture de la sérotonine.</w:t>
      </w:r>
    </w:p>
    <w:p w:rsidR="00BB43C8" w:rsidRPr="0068141B" w:rsidRDefault="00BB43C8" w:rsidP="005B5745">
      <w:pPr>
        <w:jc w:val="both"/>
        <w:rPr>
          <w:sz w:val="24"/>
          <w:szCs w:val="24"/>
        </w:rPr>
      </w:pPr>
      <w:r w:rsidRPr="0068141B">
        <w:rPr>
          <w:sz w:val="24"/>
          <w:szCs w:val="24"/>
        </w:rPr>
        <w:t xml:space="preserve">En résumé, des études antérieures suggèrent qu'un certain nombre d'antipsychotiques et d'anticonvulsivants atypiques peuvent avoir un rôle dans la pharmacothérapie de </w:t>
      </w:r>
      <w:r w:rsidR="005B5745" w:rsidRPr="00BB43C8">
        <w:t>TP</w:t>
      </w:r>
      <w:r w:rsidR="005B5745" w:rsidRPr="0068141B">
        <w:rPr>
          <w:sz w:val="24"/>
          <w:szCs w:val="24"/>
        </w:rPr>
        <w:t xml:space="preserve"> </w:t>
      </w:r>
      <w:r w:rsidRPr="0068141B">
        <w:rPr>
          <w:sz w:val="24"/>
          <w:szCs w:val="24"/>
        </w:rPr>
        <w:t>avec ou sans comorbidités psychiatriques, principalement comme</w:t>
      </w:r>
      <w:r w:rsidR="00BB4D3B">
        <w:rPr>
          <w:sz w:val="24"/>
          <w:szCs w:val="24"/>
        </w:rPr>
        <w:t xml:space="preserve"> les traitements de potentialisation </w:t>
      </w:r>
      <w:r w:rsidRPr="0068141B">
        <w:rPr>
          <w:sz w:val="24"/>
          <w:szCs w:val="24"/>
        </w:rPr>
        <w:t xml:space="preserve">en cas de non-réponse aux modalités de traitement anti-panique standard. Chez les patients avec un diagnostic primaire de </w:t>
      </w:r>
      <w:r w:rsidR="005B5745" w:rsidRPr="00BB43C8">
        <w:t>TP</w:t>
      </w:r>
      <w:r w:rsidRPr="0068141B">
        <w:rPr>
          <w:sz w:val="24"/>
          <w:szCs w:val="24"/>
        </w:rPr>
        <w:t xml:space="preserve">, ou sans autres comorbidités psychiatriques, des gains thérapeutiques ont été rapportés après un traitement - principalement comme </w:t>
      </w:r>
      <w:r w:rsidR="00BB4D3B">
        <w:rPr>
          <w:sz w:val="24"/>
          <w:szCs w:val="24"/>
        </w:rPr>
        <w:t>traitement de potentialisation</w:t>
      </w:r>
      <w:r w:rsidRPr="0068141B">
        <w:rPr>
          <w:sz w:val="24"/>
          <w:szCs w:val="24"/>
        </w:rPr>
        <w:t xml:space="preserve">- avec un certain nombre d'anticonvulsifs (carbamazépine, gabapentine, lamotrigine, levetiracetam, oxcarbamazepine, valproate, vigabatrin et tiagabine) et des antipsychotiques (aripiprazole, olanzapine, quétiapine, risperidone et sulpiride, mais pas avec la quétiapine-XR). En ce qui concerne la tolérance et la sécurité, les rapports suggèrent que les antipsychotiques atypiques et les anticonvulsivants ont été généralement bien tolérés dans des échantillons de patients atteints de la maladie de Parkinson. De plus, les patients bipolaires recevant du valproate ou de la quétiapine-XR (mais pas de la rispéridone ou de la ziprasidone) ont montré une réduction de la psychopathologie panique comorbide. Enfin, </w:t>
      </w:r>
      <w:r w:rsidR="00D43639">
        <w:rPr>
          <w:sz w:val="24"/>
          <w:szCs w:val="24"/>
        </w:rPr>
        <w:t>cette étude a</w:t>
      </w:r>
      <w:r w:rsidRPr="0068141B">
        <w:rPr>
          <w:sz w:val="24"/>
          <w:szCs w:val="24"/>
        </w:rPr>
        <w:t xml:space="preserve"> retracé quelques rapports de</w:t>
      </w:r>
      <w:r w:rsidR="00BB4D3B">
        <w:rPr>
          <w:sz w:val="24"/>
          <w:szCs w:val="24"/>
        </w:rPr>
        <w:t>s</w:t>
      </w:r>
      <w:r w:rsidRPr="0068141B">
        <w:rPr>
          <w:sz w:val="24"/>
          <w:szCs w:val="24"/>
        </w:rPr>
        <w:t xml:space="preserve"> cas de nouvelles manifestations de panique après l'administration de certains anticonvulsivants (topiramate) ou antipsychotiques (clozapine, halopéridol, olanzapine) pour des syndromes psychiatriques autres que </w:t>
      </w:r>
      <w:r w:rsidR="005B5745" w:rsidRPr="00BB43C8">
        <w:t>TP</w:t>
      </w:r>
      <w:r w:rsidRPr="0068141B">
        <w:rPr>
          <w:sz w:val="24"/>
          <w:szCs w:val="24"/>
        </w:rPr>
        <w:t>.</w:t>
      </w:r>
    </w:p>
    <w:p w:rsidR="0068141B" w:rsidRPr="0068141B" w:rsidRDefault="00BB43C8" w:rsidP="0068141B">
      <w:pPr>
        <w:jc w:val="both"/>
        <w:rPr>
          <w:b/>
          <w:bCs/>
          <w:color w:val="FF0000"/>
          <w:sz w:val="24"/>
          <w:szCs w:val="24"/>
          <w:u w:val="single"/>
        </w:rPr>
      </w:pPr>
      <w:r w:rsidRPr="0068141B">
        <w:rPr>
          <w:b/>
          <w:bCs/>
          <w:color w:val="FF0000"/>
          <w:sz w:val="24"/>
          <w:szCs w:val="24"/>
          <w:u w:val="single"/>
        </w:rPr>
        <w:t xml:space="preserve">Conclusion : </w:t>
      </w:r>
    </w:p>
    <w:p w:rsidR="00BB43C8" w:rsidRDefault="00BB43C8" w:rsidP="005B5745">
      <w:pPr>
        <w:jc w:val="both"/>
        <w:rPr>
          <w:sz w:val="24"/>
          <w:szCs w:val="24"/>
        </w:rPr>
      </w:pPr>
      <w:r w:rsidRPr="0068141B">
        <w:rPr>
          <w:sz w:val="24"/>
          <w:szCs w:val="24"/>
        </w:rPr>
        <w:t xml:space="preserve">Certains antipsychotiques et anticonvulsivants atypiques peuvent jouer un rôle dans le traitement de certains patients atteints de </w:t>
      </w:r>
      <w:r w:rsidR="005B5745" w:rsidRPr="00BB43C8">
        <w:t>TP</w:t>
      </w:r>
      <w:r w:rsidRPr="0068141B">
        <w:rPr>
          <w:sz w:val="24"/>
          <w:szCs w:val="24"/>
        </w:rPr>
        <w:t>, surtout lorsque les approches plus conventionnelles n'ont pas été efficaces, mais la qualité des preuves à l'appui est limitée.</w:t>
      </w:r>
    </w:p>
    <w:p w:rsidR="008760CC" w:rsidRDefault="008760CC" w:rsidP="0068141B">
      <w:pPr>
        <w:jc w:val="both"/>
        <w:rPr>
          <w:sz w:val="24"/>
          <w:szCs w:val="24"/>
        </w:rPr>
      </w:pPr>
    </w:p>
    <w:p w:rsidR="008760CC" w:rsidRPr="008760CC" w:rsidRDefault="008760CC" w:rsidP="000D0DA8">
      <w:pPr>
        <w:spacing w:after="0" w:line="240" w:lineRule="auto"/>
        <w:jc w:val="right"/>
        <w:rPr>
          <w:sz w:val="24"/>
          <w:szCs w:val="24"/>
        </w:rPr>
      </w:pPr>
      <w:r w:rsidRPr="008760CC">
        <w:rPr>
          <w:sz w:val="24"/>
          <w:szCs w:val="24"/>
        </w:rPr>
        <w:t>Dr. Omar EL OUMARY</w:t>
      </w:r>
    </w:p>
    <w:p w:rsidR="008760CC" w:rsidRPr="008760CC" w:rsidRDefault="008760CC" w:rsidP="000D0DA8">
      <w:pPr>
        <w:spacing w:after="0" w:line="240" w:lineRule="auto"/>
        <w:jc w:val="right"/>
        <w:rPr>
          <w:sz w:val="24"/>
          <w:szCs w:val="24"/>
        </w:rPr>
      </w:pPr>
      <w:r w:rsidRPr="008760CC">
        <w:rPr>
          <w:sz w:val="24"/>
          <w:szCs w:val="24"/>
        </w:rPr>
        <w:t>Service de psychiatrie</w:t>
      </w:r>
    </w:p>
    <w:p w:rsidR="008760CC" w:rsidRPr="008760CC" w:rsidRDefault="008760CC" w:rsidP="000D0DA8">
      <w:pPr>
        <w:spacing w:after="0" w:line="240" w:lineRule="auto"/>
        <w:jc w:val="right"/>
        <w:rPr>
          <w:sz w:val="24"/>
          <w:szCs w:val="24"/>
        </w:rPr>
      </w:pPr>
      <w:r w:rsidRPr="008760CC">
        <w:rPr>
          <w:sz w:val="24"/>
          <w:szCs w:val="24"/>
        </w:rPr>
        <w:t>CHU Agadir</w:t>
      </w:r>
    </w:p>
    <w:p w:rsidR="008760CC" w:rsidRPr="0068141B" w:rsidRDefault="008760CC" w:rsidP="000D0DA8">
      <w:pPr>
        <w:spacing w:after="0" w:line="240" w:lineRule="auto"/>
        <w:jc w:val="right"/>
        <w:rPr>
          <w:sz w:val="24"/>
          <w:szCs w:val="24"/>
        </w:rPr>
      </w:pPr>
      <w:bookmarkStart w:id="0" w:name="_GoBack"/>
      <w:bookmarkEnd w:id="0"/>
      <w:r>
        <w:rPr>
          <w:sz w:val="24"/>
          <w:szCs w:val="24"/>
        </w:rPr>
        <w:t>Juillet</w:t>
      </w:r>
      <w:r w:rsidRPr="008760CC">
        <w:rPr>
          <w:sz w:val="24"/>
          <w:szCs w:val="24"/>
        </w:rPr>
        <w:t xml:space="preserve"> 2021</w:t>
      </w:r>
    </w:p>
    <w:sectPr w:rsidR="008760CC" w:rsidRPr="0068141B" w:rsidSect="005E3D60">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EF" w:rsidRDefault="007173EF" w:rsidP="0068141B">
      <w:pPr>
        <w:spacing w:after="0" w:line="240" w:lineRule="auto"/>
      </w:pPr>
      <w:r>
        <w:separator/>
      </w:r>
    </w:p>
  </w:endnote>
  <w:endnote w:type="continuationSeparator" w:id="0">
    <w:p w:rsidR="007173EF" w:rsidRDefault="007173EF" w:rsidP="0068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559160"/>
      <w:docPartObj>
        <w:docPartGallery w:val="Page Numbers (Bottom of Page)"/>
        <w:docPartUnique/>
      </w:docPartObj>
    </w:sdtPr>
    <w:sdtEndPr/>
    <w:sdtContent>
      <w:p w:rsidR="0068141B" w:rsidRDefault="00856F62" w:rsidP="008760CC">
        <w:pPr>
          <w:pStyle w:val="Pieddepage"/>
        </w:pPr>
        <w:r>
          <w:fldChar w:fldCharType="begin"/>
        </w:r>
        <w:r>
          <w:instrText xml:space="preserve"> PAGE   \* MERGEFORMAT </w:instrText>
        </w:r>
        <w:r>
          <w:fldChar w:fldCharType="separate"/>
        </w:r>
        <w:r w:rsidR="00BB4D3B">
          <w:t>7</w:t>
        </w:r>
        <w:r>
          <w:fldChar w:fldCharType="end"/>
        </w:r>
        <w:r w:rsidR="008760CC">
          <w:t xml:space="preserve"> </w:t>
        </w:r>
      </w:p>
    </w:sdtContent>
  </w:sdt>
  <w:p w:rsidR="0068141B" w:rsidRDefault="006814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EF" w:rsidRDefault="007173EF" w:rsidP="0068141B">
      <w:pPr>
        <w:spacing w:after="0" w:line="240" w:lineRule="auto"/>
      </w:pPr>
      <w:r>
        <w:separator/>
      </w:r>
    </w:p>
  </w:footnote>
  <w:footnote w:type="continuationSeparator" w:id="0">
    <w:p w:rsidR="007173EF" w:rsidRDefault="007173EF" w:rsidP="0068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302"/>
    <w:multiLevelType w:val="hybridMultilevel"/>
    <w:tmpl w:val="35A0AE1C"/>
    <w:lvl w:ilvl="0" w:tplc="2430A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951F2B"/>
    <w:multiLevelType w:val="hybridMultilevel"/>
    <w:tmpl w:val="CD06D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E69F0"/>
    <w:multiLevelType w:val="hybridMultilevel"/>
    <w:tmpl w:val="EE585DA8"/>
    <w:lvl w:ilvl="0" w:tplc="8E70C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B45B13"/>
    <w:multiLevelType w:val="hybridMultilevel"/>
    <w:tmpl w:val="702A60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5B"/>
    <w:rsid w:val="00027C67"/>
    <w:rsid w:val="000A54B7"/>
    <w:rsid w:val="000D0DA8"/>
    <w:rsid w:val="000D21A9"/>
    <w:rsid w:val="000F60D9"/>
    <w:rsid w:val="001411A8"/>
    <w:rsid w:val="00173957"/>
    <w:rsid w:val="0021268D"/>
    <w:rsid w:val="00237A7D"/>
    <w:rsid w:val="003F6ACF"/>
    <w:rsid w:val="00473C13"/>
    <w:rsid w:val="00485954"/>
    <w:rsid w:val="004B4120"/>
    <w:rsid w:val="004C4E80"/>
    <w:rsid w:val="004E51F6"/>
    <w:rsid w:val="00571E64"/>
    <w:rsid w:val="005B5745"/>
    <w:rsid w:val="005E3D60"/>
    <w:rsid w:val="005F3F9D"/>
    <w:rsid w:val="0061014E"/>
    <w:rsid w:val="0068141B"/>
    <w:rsid w:val="006D4550"/>
    <w:rsid w:val="00715667"/>
    <w:rsid w:val="007173EF"/>
    <w:rsid w:val="007D14B9"/>
    <w:rsid w:val="007E4BA2"/>
    <w:rsid w:val="008403E0"/>
    <w:rsid w:val="00856F62"/>
    <w:rsid w:val="008760CC"/>
    <w:rsid w:val="00914589"/>
    <w:rsid w:val="00992130"/>
    <w:rsid w:val="009C4907"/>
    <w:rsid w:val="009D44C3"/>
    <w:rsid w:val="00A67928"/>
    <w:rsid w:val="00A726D9"/>
    <w:rsid w:val="00AC642D"/>
    <w:rsid w:val="00AE3EA5"/>
    <w:rsid w:val="00BB43C8"/>
    <w:rsid w:val="00BB4D3B"/>
    <w:rsid w:val="00C6275B"/>
    <w:rsid w:val="00C661D7"/>
    <w:rsid w:val="00C81213"/>
    <w:rsid w:val="00D43639"/>
    <w:rsid w:val="00D64F14"/>
    <w:rsid w:val="00DE7C91"/>
    <w:rsid w:val="00E91FB6"/>
    <w:rsid w:val="00F13CC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07047-D19C-4DA1-8A4B-B34ABBCF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43C8"/>
    <w:pPr>
      <w:ind w:left="720"/>
      <w:contextualSpacing/>
    </w:pPr>
  </w:style>
  <w:style w:type="paragraph" w:styleId="Textedebulles">
    <w:name w:val="Balloon Text"/>
    <w:basedOn w:val="Normal"/>
    <w:link w:val="TextedebullesCar"/>
    <w:uiPriority w:val="99"/>
    <w:semiHidden/>
    <w:unhideWhenUsed/>
    <w:rsid w:val="005E3D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60"/>
    <w:rPr>
      <w:rFonts w:ascii="Tahoma" w:hAnsi="Tahoma" w:cs="Tahoma"/>
      <w:noProof/>
      <w:sz w:val="16"/>
      <w:szCs w:val="16"/>
    </w:rPr>
  </w:style>
  <w:style w:type="paragraph" w:styleId="En-tte">
    <w:name w:val="header"/>
    <w:basedOn w:val="Normal"/>
    <w:link w:val="En-tteCar"/>
    <w:uiPriority w:val="99"/>
    <w:semiHidden/>
    <w:unhideWhenUsed/>
    <w:rsid w:val="006814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141B"/>
    <w:rPr>
      <w:noProof/>
    </w:rPr>
  </w:style>
  <w:style w:type="paragraph" w:styleId="Pieddepage">
    <w:name w:val="footer"/>
    <w:basedOn w:val="Normal"/>
    <w:link w:val="PieddepageCar"/>
    <w:uiPriority w:val="99"/>
    <w:unhideWhenUsed/>
    <w:rsid w:val="00681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41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2732</Words>
  <Characters>15032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2021-07-24T09:15:00Z</dcterms:created>
  <dcterms:modified xsi:type="dcterms:W3CDTF">2021-07-27T09:03:00Z</dcterms:modified>
</cp:coreProperties>
</file>